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74CB1" w14:textId="77777777" w:rsidR="002061A4" w:rsidRPr="001B44E4" w:rsidRDefault="002061A4" w:rsidP="00916EB5">
      <w:pPr>
        <w:jc w:val="center"/>
        <w:rPr>
          <w:b/>
          <w:color w:val="000000"/>
        </w:rPr>
      </w:pPr>
    </w:p>
    <w:p w14:paraId="5805D879" w14:textId="77777777" w:rsidR="001450B4" w:rsidRDefault="007F3B72" w:rsidP="007F3B72">
      <w:pPr>
        <w:jc w:val="center"/>
        <w:rPr>
          <w:b/>
          <w:color w:val="000000"/>
          <w:sz w:val="22"/>
        </w:rPr>
      </w:pPr>
      <w:r w:rsidRPr="001450B4">
        <w:rPr>
          <w:b/>
          <w:color w:val="000000"/>
          <w:sz w:val="22"/>
        </w:rPr>
        <w:t>DEMONSTRATIVO BIMESTRAL DA LIMITAÇÃO DE EMPENHO E MOVIMENTAÇÃO FINANCEIRA</w:t>
      </w:r>
    </w:p>
    <w:p w14:paraId="734E804E" w14:textId="058122EE" w:rsidR="007F3B72" w:rsidRPr="001450B4" w:rsidRDefault="007F3B72" w:rsidP="000D7F35">
      <w:pPr>
        <w:spacing w:after="60"/>
        <w:jc w:val="center"/>
        <w:rPr>
          <w:b/>
          <w:color w:val="000000"/>
          <w:sz w:val="22"/>
        </w:rPr>
      </w:pPr>
      <w:r w:rsidRPr="001450B4">
        <w:rPr>
          <w:b/>
          <w:color w:val="000000"/>
          <w:sz w:val="22"/>
        </w:rPr>
        <w:t xml:space="preserve">EXERCÍCIO FINANCEIRO </w:t>
      </w:r>
      <w:r w:rsidR="00C74C91">
        <w:rPr>
          <w:b/>
          <w:color w:val="000000"/>
          <w:sz w:val="22"/>
        </w:rPr>
        <w:t>202</w:t>
      </w:r>
      <w:r w:rsidR="00231EC4">
        <w:rPr>
          <w:b/>
          <w:color w:val="000000"/>
          <w:sz w:val="22"/>
        </w:rPr>
        <w:t>4</w:t>
      </w:r>
    </w:p>
    <w:p w14:paraId="508A3E2D" w14:textId="3DF9A2E0" w:rsidR="007241A4" w:rsidRPr="00473083" w:rsidRDefault="007241A4" w:rsidP="007241A4">
      <w:pPr>
        <w:spacing w:after="60"/>
        <w:jc w:val="center"/>
        <w:rPr>
          <w:b/>
          <w:bCs/>
          <w:iCs/>
          <w:color w:val="000000"/>
          <w:sz w:val="20"/>
        </w:rPr>
      </w:pPr>
      <w:r w:rsidRPr="00473083">
        <w:rPr>
          <w:iCs/>
          <w:color w:val="000000"/>
          <w:sz w:val="20"/>
        </w:rPr>
        <w:t xml:space="preserve">(Art. </w:t>
      </w:r>
      <w:r w:rsidR="00231EC4">
        <w:rPr>
          <w:iCs/>
          <w:color w:val="000000"/>
          <w:sz w:val="20"/>
        </w:rPr>
        <w:t>71</w:t>
      </w:r>
      <w:r w:rsidRPr="00473083">
        <w:rPr>
          <w:iCs/>
          <w:color w:val="000000"/>
          <w:sz w:val="20"/>
        </w:rPr>
        <w:t>, § 10, Lei nº 14.</w:t>
      </w:r>
      <w:r w:rsidR="00231EC4">
        <w:rPr>
          <w:iCs/>
          <w:color w:val="000000"/>
          <w:sz w:val="20"/>
        </w:rPr>
        <w:t>791</w:t>
      </w:r>
      <w:r w:rsidRPr="00473083">
        <w:rPr>
          <w:iCs/>
          <w:color w:val="000000"/>
          <w:sz w:val="20"/>
        </w:rPr>
        <w:t xml:space="preserve">, de </w:t>
      </w:r>
      <w:r w:rsidR="00231EC4">
        <w:rPr>
          <w:iCs/>
          <w:color w:val="000000"/>
          <w:sz w:val="20"/>
        </w:rPr>
        <w:t>2</w:t>
      </w:r>
      <w:r w:rsidR="00044C46">
        <w:rPr>
          <w:iCs/>
          <w:color w:val="000000"/>
          <w:sz w:val="20"/>
        </w:rPr>
        <w:t>9</w:t>
      </w:r>
      <w:r w:rsidRPr="00473083">
        <w:rPr>
          <w:iCs/>
          <w:color w:val="000000"/>
          <w:sz w:val="20"/>
        </w:rPr>
        <w:t xml:space="preserve"> de </w:t>
      </w:r>
      <w:r w:rsidR="00231EC4">
        <w:rPr>
          <w:iCs/>
          <w:color w:val="000000"/>
          <w:sz w:val="20"/>
        </w:rPr>
        <w:t>dezembr</w:t>
      </w:r>
      <w:r w:rsidRPr="00473083">
        <w:rPr>
          <w:iCs/>
          <w:color w:val="000000"/>
          <w:sz w:val="20"/>
        </w:rPr>
        <w:t>o de 202</w:t>
      </w:r>
      <w:r w:rsidR="00231EC4">
        <w:rPr>
          <w:iCs/>
          <w:color w:val="000000"/>
          <w:sz w:val="20"/>
        </w:rPr>
        <w:t>3</w:t>
      </w:r>
      <w:r w:rsidRPr="00473083">
        <w:rPr>
          <w:bCs/>
          <w:iCs/>
          <w:color w:val="000000"/>
          <w:sz w:val="20"/>
        </w:rPr>
        <w:t xml:space="preserve"> – LDO</w:t>
      </w:r>
      <w:r w:rsidR="00473083">
        <w:rPr>
          <w:bCs/>
          <w:iCs/>
          <w:color w:val="000000"/>
          <w:sz w:val="20"/>
        </w:rPr>
        <w:t>/</w:t>
      </w:r>
      <w:r w:rsidRPr="00473083">
        <w:rPr>
          <w:bCs/>
          <w:iCs/>
          <w:color w:val="000000"/>
          <w:sz w:val="20"/>
        </w:rPr>
        <w:t>202</w:t>
      </w:r>
      <w:r w:rsidR="00231EC4">
        <w:rPr>
          <w:bCs/>
          <w:iCs/>
          <w:color w:val="000000"/>
          <w:sz w:val="20"/>
        </w:rPr>
        <w:t>4</w:t>
      </w:r>
      <w:r w:rsidRPr="00473083">
        <w:rPr>
          <w:bCs/>
          <w:iCs/>
          <w:color w:val="000000"/>
          <w:sz w:val="20"/>
        </w:rPr>
        <w:t>)</w:t>
      </w:r>
    </w:p>
    <w:p w14:paraId="1B0E27DD" w14:textId="77777777" w:rsidR="0084505F" w:rsidRPr="00FD7B63" w:rsidRDefault="0084505F" w:rsidP="0072637C">
      <w:pPr>
        <w:rPr>
          <w:b/>
          <w:color w:val="000000"/>
          <w:sz w:val="20"/>
          <w:szCs w:val="10"/>
        </w:rPr>
      </w:pPr>
    </w:p>
    <w:p w14:paraId="091C1052" w14:textId="77777777" w:rsidR="00187F9D" w:rsidRPr="001450B4" w:rsidRDefault="00393C5A" w:rsidP="0072637C">
      <w:pPr>
        <w:rPr>
          <w:b/>
          <w:color w:val="000000"/>
          <w:sz w:val="22"/>
        </w:rPr>
      </w:pPr>
      <w:r w:rsidRPr="001450B4">
        <w:rPr>
          <w:b/>
          <w:color w:val="000000"/>
          <w:sz w:val="22"/>
        </w:rPr>
        <w:t>Unidade Orçamentária</w:t>
      </w:r>
      <w:r w:rsidR="007F3B72" w:rsidRPr="001450B4">
        <w:rPr>
          <w:b/>
          <w:color w:val="000000"/>
          <w:sz w:val="22"/>
        </w:rPr>
        <w:t xml:space="preserve">: 02101 – </w:t>
      </w:r>
      <w:r w:rsidRPr="001450B4">
        <w:rPr>
          <w:b/>
          <w:color w:val="000000"/>
          <w:sz w:val="22"/>
        </w:rPr>
        <w:t>Senado Federal</w:t>
      </w:r>
    </w:p>
    <w:p w14:paraId="14AAD4C3" w14:textId="36A5BAF8" w:rsidR="003B582B" w:rsidRPr="009B092D" w:rsidRDefault="00144D18" w:rsidP="00144D18">
      <w:pPr>
        <w:spacing w:after="40"/>
        <w:ind w:left="10620" w:firstLine="709"/>
        <w:jc w:val="center"/>
        <w:rPr>
          <w:i/>
          <w:color w:val="000000"/>
          <w:sz w:val="18"/>
          <w:szCs w:val="22"/>
        </w:rPr>
      </w:pPr>
      <w:r>
        <w:rPr>
          <w:i/>
          <w:color w:val="000000"/>
          <w:sz w:val="18"/>
          <w:szCs w:val="22"/>
        </w:rPr>
        <w:t xml:space="preserve">                                                             </w:t>
      </w:r>
    </w:p>
    <w:tbl>
      <w:tblPr>
        <w:tblW w:w="0" w:type="auto"/>
        <w:tblLayout w:type="fixed"/>
        <w:tblCellMar>
          <w:left w:w="70" w:type="dxa"/>
          <w:right w:w="70" w:type="dxa"/>
        </w:tblCellMar>
        <w:tblLook w:val="04A0" w:firstRow="1" w:lastRow="0" w:firstColumn="1" w:lastColumn="0" w:noHBand="0" w:noVBand="1"/>
      </w:tblPr>
      <w:tblGrid>
        <w:gridCol w:w="3676"/>
        <w:gridCol w:w="2211"/>
        <w:gridCol w:w="2211"/>
        <w:gridCol w:w="2211"/>
        <w:gridCol w:w="2211"/>
        <w:gridCol w:w="2071"/>
      </w:tblGrid>
      <w:tr w:rsidR="00355DB1" w14:paraId="200E439C" w14:textId="77777777" w:rsidTr="00814F91">
        <w:trPr>
          <w:trHeight w:val="340"/>
        </w:trPr>
        <w:tc>
          <w:tcPr>
            <w:tcW w:w="3676" w:type="dxa"/>
            <w:tcBorders>
              <w:top w:val="single" w:sz="8" w:space="0" w:color="auto"/>
              <w:left w:val="single" w:sz="8" w:space="0" w:color="auto"/>
              <w:bottom w:val="single" w:sz="8" w:space="0" w:color="auto"/>
              <w:right w:val="single" w:sz="8" w:space="0" w:color="FFFFFF" w:themeColor="background1"/>
            </w:tcBorders>
            <w:shd w:val="clear" w:color="auto" w:fill="244061" w:themeFill="accent1" w:themeFillShade="80"/>
            <w:vAlign w:val="center"/>
            <w:hideMark/>
          </w:tcPr>
          <w:p w14:paraId="78B0EE70" w14:textId="77777777" w:rsidR="00F21C5D" w:rsidRPr="00A35C90" w:rsidRDefault="00F21C5D" w:rsidP="00F21C5D">
            <w:pPr>
              <w:jc w:val="center"/>
              <w:rPr>
                <w:b/>
                <w:bCs/>
                <w:color w:val="FFFFFF"/>
                <w:sz w:val="20"/>
                <w:szCs w:val="20"/>
              </w:rPr>
            </w:pPr>
            <w:r w:rsidRPr="00A35C90">
              <w:rPr>
                <w:b/>
                <w:bCs/>
                <w:color w:val="FFFFFF"/>
                <w:sz w:val="20"/>
                <w:szCs w:val="20"/>
              </w:rPr>
              <w:t> </w:t>
            </w:r>
          </w:p>
        </w:tc>
        <w:tc>
          <w:tcPr>
            <w:tcW w:w="2211" w:type="dxa"/>
            <w:tcBorders>
              <w:top w:val="single" w:sz="8" w:space="0" w:color="auto"/>
              <w:left w:val="single" w:sz="8" w:space="0" w:color="FFFFFF" w:themeColor="background1"/>
              <w:bottom w:val="single" w:sz="8" w:space="0" w:color="auto"/>
              <w:right w:val="single" w:sz="8" w:space="0" w:color="FFFFFF" w:themeColor="background1"/>
            </w:tcBorders>
            <w:shd w:val="clear" w:color="auto" w:fill="244061" w:themeFill="accent1" w:themeFillShade="80"/>
            <w:vAlign w:val="center"/>
            <w:hideMark/>
          </w:tcPr>
          <w:p w14:paraId="36B84855" w14:textId="77777777" w:rsidR="00F21C5D" w:rsidRPr="00A35C90" w:rsidRDefault="00F21C5D" w:rsidP="00F21C5D">
            <w:pPr>
              <w:jc w:val="center"/>
              <w:rPr>
                <w:b/>
                <w:bCs/>
                <w:color w:val="FFFFFF"/>
                <w:sz w:val="20"/>
                <w:szCs w:val="20"/>
              </w:rPr>
            </w:pPr>
            <w:r w:rsidRPr="00A35C90">
              <w:rPr>
                <w:b/>
                <w:bCs/>
                <w:color w:val="FFFFFF" w:themeColor="background1"/>
                <w:sz w:val="20"/>
                <w:szCs w:val="20"/>
              </w:rPr>
              <w:t>1</w:t>
            </w:r>
            <w:r w:rsidRPr="00A35C90">
              <w:rPr>
                <w:b/>
                <w:bCs/>
                <w:color w:val="FFFFFF"/>
                <w:sz w:val="20"/>
                <w:szCs w:val="20"/>
                <w:u w:val="single"/>
                <w:vertAlign w:val="superscript"/>
              </w:rPr>
              <w:t>o</w:t>
            </w:r>
            <w:r w:rsidRPr="00A35C90">
              <w:rPr>
                <w:b/>
                <w:bCs/>
                <w:color w:val="FFFFFF"/>
                <w:sz w:val="20"/>
                <w:szCs w:val="20"/>
              </w:rPr>
              <w:t xml:space="preserve"> Bimestre</w:t>
            </w:r>
          </w:p>
        </w:tc>
        <w:tc>
          <w:tcPr>
            <w:tcW w:w="2211" w:type="dxa"/>
            <w:tcBorders>
              <w:top w:val="single" w:sz="8" w:space="0" w:color="auto"/>
              <w:left w:val="single" w:sz="8" w:space="0" w:color="FFFFFF" w:themeColor="background1"/>
              <w:bottom w:val="single" w:sz="8" w:space="0" w:color="auto"/>
              <w:right w:val="single" w:sz="8" w:space="0" w:color="FFFFFF" w:themeColor="background1"/>
            </w:tcBorders>
            <w:shd w:val="clear" w:color="auto" w:fill="244061" w:themeFill="accent1" w:themeFillShade="80"/>
            <w:vAlign w:val="center"/>
          </w:tcPr>
          <w:p w14:paraId="0DB603F1" w14:textId="1B3E154D" w:rsidR="00F21C5D" w:rsidRPr="00A35C90" w:rsidRDefault="00F21C5D" w:rsidP="00F21C5D">
            <w:pPr>
              <w:jc w:val="center"/>
              <w:rPr>
                <w:b/>
                <w:bCs/>
                <w:color w:val="FFFFFF" w:themeColor="background1"/>
                <w:sz w:val="20"/>
                <w:szCs w:val="20"/>
              </w:rPr>
            </w:pPr>
            <w:r w:rsidRPr="00A35C90">
              <w:rPr>
                <w:b/>
                <w:bCs/>
                <w:color w:val="FFFFFF" w:themeColor="background1"/>
                <w:sz w:val="20"/>
                <w:szCs w:val="20"/>
              </w:rPr>
              <w:t>2</w:t>
            </w:r>
            <w:r w:rsidRPr="00A35C90">
              <w:rPr>
                <w:b/>
                <w:bCs/>
                <w:color w:val="FFFFFF"/>
                <w:sz w:val="20"/>
                <w:szCs w:val="20"/>
                <w:u w:val="single"/>
                <w:vertAlign w:val="superscript"/>
              </w:rPr>
              <w:t>o</w:t>
            </w:r>
            <w:r w:rsidRPr="00A35C90">
              <w:rPr>
                <w:b/>
                <w:bCs/>
                <w:color w:val="FFFFFF"/>
                <w:sz w:val="20"/>
                <w:szCs w:val="20"/>
              </w:rPr>
              <w:t xml:space="preserve"> Bimestre</w:t>
            </w:r>
          </w:p>
        </w:tc>
        <w:tc>
          <w:tcPr>
            <w:tcW w:w="2211" w:type="dxa"/>
            <w:tcBorders>
              <w:top w:val="single" w:sz="8" w:space="0" w:color="auto"/>
              <w:left w:val="single" w:sz="8" w:space="0" w:color="FFFFFF" w:themeColor="background1"/>
              <w:bottom w:val="single" w:sz="8" w:space="0" w:color="auto"/>
              <w:right w:val="single" w:sz="8" w:space="0" w:color="FFFFFF" w:themeColor="background1"/>
            </w:tcBorders>
            <w:shd w:val="clear" w:color="auto" w:fill="244061" w:themeFill="accent1" w:themeFillShade="80"/>
            <w:vAlign w:val="center"/>
          </w:tcPr>
          <w:p w14:paraId="56BBB247" w14:textId="37C3FB99" w:rsidR="00F21C5D" w:rsidRPr="00A35C90" w:rsidRDefault="00F21C5D" w:rsidP="00F21C5D">
            <w:pPr>
              <w:jc w:val="center"/>
              <w:rPr>
                <w:b/>
                <w:bCs/>
                <w:color w:val="FFFFFF"/>
                <w:sz w:val="20"/>
                <w:szCs w:val="20"/>
              </w:rPr>
            </w:pPr>
            <w:r w:rsidRPr="00A35C90">
              <w:rPr>
                <w:b/>
                <w:bCs/>
                <w:color w:val="FFFFFF" w:themeColor="background1"/>
                <w:sz w:val="20"/>
                <w:szCs w:val="20"/>
              </w:rPr>
              <w:t>3</w:t>
            </w:r>
            <w:r w:rsidRPr="00A35C90">
              <w:rPr>
                <w:b/>
                <w:bCs/>
                <w:color w:val="FFFFFF"/>
                <w:sz w:val="20"/>
                <w:szCs w:val="20"/>
                <w:u w:val="single"/>
                <w:vertAlign w:val="superscript"/>
              </w:rPr>
              <w:t>o</w:t>
            </w:r>
            <w:r w:rsidRPr="00A35C90">
              <w:rPr>
                <w:b/>
                <w:bCs/>
                <w:color w:val="FFFFFF"/>
                <w:sz w:val="20"/>
                <w:szCs w:val="20"/>
              </w:rPr>
              <w:t xml:space="preserve"> Bimestre</w:t>
            </w:r>
          </w:p>
        </w:tc>
        <w:tc>
          <w:tcPr>
            <w:tcW w:w="2211" w:type="dxa"/>
            <w:tcBorders>
              <w:top w:val="single" w:sz="8" w:space="0" w:color="auto"/>
              <w:left w:val="single" w:sz="8" w:space="0" w:color="FFFFFF" w:themeColor="background1"/>
              <w:bottom w:val="single" w:sz="8" w:space="0" w:color="auto"/>
              <w:right w:val="single" w:sz="8" w:space="0" w:color="FFFFFF" w:themeColor="background1"/>
            </w:tcBorders>
            <w:shd w:val="clear" w:color="auto" w:fill="244061" w:themeFill="accent1" w:themeFillShade="80"/>
            <w:vAlign w:val="center"/>
          </w:tcPr>
          <w:p w14:paraId="6CAA797D" w14:textId="77777777" w:rsidR="00F21C5D" w:rsidRPr="00A35C90" w:rsidRDefault="00F21C5D" w:rsidP="00F21C5D">
            <w:pPr>
              <w:jc w:val="center"/>
              <w:rPr>
                <w:b/>
                <w:bCs/>
                <w:color w:val="FFFFFF"/>
                <w:sz w:val="20"/>
                <w:szCs w:val="20"/>
              </w:rPr>
            </w:pPr>
            <w:r w:rsidRPr="00A35C90">
              <w:rPr>
                <w:b/>
                <w:bCs/>
                <w:color w:val="FFFFFF" w:themeColor="background1"/>
                <w:sz w:val="20"/>
                <w:szCs w:val="20"/>
              </w:rPr>
              <w:t>4</w:t>
            </w:r>
            <w:r w:rsidRPr="00A35C90">
              <w:rPr>
                <w:b/>
                <w:bCs/>
                <w:color w:val="FFFFFF"/>
                <w:sz w:val="20"/>
                <w:szCs w:val="20"/>
                <w:u w:val="single"/>
                <w:vertAlign w:val="superscript"/>
              </w:rPr>
              <w:t>o</w:t>
            </w:r>
            <w:r w:rsidRPr="00A35C90">
              <w:rPr>
                <w:b/>
                <w:bCs/>
                <w:color w:val="FFFFFF"/>
                <w:sz w:val="20"/>
                <w:szCs w:val="20"/>
              </w:rPr>
              <w:t xml:space="preserve"> Bimestre</w:t>
            </w:r>
          </w:p>
        </w:tc>
        <w:tc>
          <w:tcPr>
            <w:tcW w:w="2071" w:type="dxa"/>
            <w:tcBorders>
              <w:top w:val="single" w:sz="8" w:space="0" w:color="auto"/>
              <w:left w:val="single" w:sz="8" w:space="0" w:color="FFFFFF" w:themeColor="background1"/>
              <w:bottom w:val="single" w:sz="8" w:space="0" w:color="auto"/>
              <w:right w:val="single" w:sz="8" w:space="0" w:color="auto"/>
            </w:tcBorders>
            <w:shd w:val="clear" w:color="auto" w:fill="244061" w:themeFill="accent1" w:themeFillShade="80"/>
            <w:vAlign w:val="center"/>
          </w:tcPr>
          <w:p w14:paraId="6303B39C" w14:textId="77777777" w:rsidR="00F21C5D" w:rsidRPr="00A35C90" w:rsidRDefault="00F21C5D" w:rsidP="00F21C5D">
            <w:pPr>
              <w:jc w:val="center"/>
              <w:rPr>
                <w:b/>
                <w:bCs/>
                <w:color w:val="FFFFFF"/>
                <w:sz w:val="20"/>
                <w:szCs w:val="20"/>
              </w:rPr>
            </w:pPr>
            <w:r w:rsidRPr="00767FE6">
              <w:rPr>
                <w:b/>
                <w:bCs/>
                <w:color w:val="FFFFFF"/>
                <w:sz w:val="20"/>
                <w:szCs w:val="20"/>
              </w:rPr>
              <w:t>5</w:t>
            </w:r>
            <w:r w:rsidRPr="00A35C90">
              <w:rPr>
                <w:b/>
                <w:bCs/>
                <w:color w:val="FFFFFF"/>
                <w:sz w:val="20"/>
                <w:szCs w:val="20"/>
                <w:u w:val="single"/>
                <w:vertAlign w:val="superscript"/>
              </w:rPr>
              <w:t>o</w:t>
            </w:r>
            <w:r w:rsidRPr="00A35C90">
              <w:rPr>
                <w:b/>
                <w:bCs/>
                <w:color w:val="FFFFFF"/>
                <w:sz w:val="20"/>
                <w:szCs w:val="20"/>
              </w:rPr>
              <w:t xml:space="preserve"> Bimestre</w:t>
            </w:r>
          </w:p>
        </w:tc>
      </w:tr>
      <w:tr w:rsidR="00355DB1" w14:paraId="538FA3BD" w14:textId="77777777" w:rsidTr="00814F91">
        <w:trPr>
          <w:trHeight w:val="340"/>
        </w:trPr>
        <w:tc>
          <w:tcPr>
            <w:tcW w:w="3676" w:type="dxa"/>
            <w:tcBorders>
              <w:top w:val="single" w:sz="8" w:space="0" w:color="auto"/>
              <w:left w:val="single" w:sz="8" w:space="0" w:color="auto"/>
              <w:bottom w:val="single" w:sz="8" w:space="0" w:color="595959" w:themeColor="text1" w:themeTint="A6"/>
              <w:right w:val="single" w:sz="8" w:space="0" w:color="595959" w:themeColor="text1" w:themeTint="A6"/>
            </w:tcBorders>
            <w:shd w:val="clear" w:color="auto" w:fill="DBE5F1" w:themeFill="accent1" w:themeFillTint="33"/>
            <w:vAlign w:val="center"/>
            <w:hideMark/>
          </w:tcPr>
          <w:p w14:paraId="5E448CA4" w14:textId="77777777" w:rsidR="00F21C5D" w:rsidRPr="00BC3037" w:rsidRDefault="00F21C5D" w:rsidP="00F21C5D">
            <w:pPr>
              <w:rPr>
                <w:b/>
                <w:bCs/>
                <w:color w:val="000000"/>
                <w:sz w:val="20"/>
                <w:szCs w:val="20"/>
              </w:rPr>
            </w:pPr>
            <w:r w:rsidRPr="00BC3037">
              <w:rPr>
                <w:b/>
                <w:bCs/>
                <w:color w:val="000000"/>
                <w:sz w:val="20"/>
                <w:szCs w:val="20"/>
              </w:rPr>
              <w:t>Dotação atualizada</w:t>
            </w:r>
          </w:p>
        </w:tc>
        <w:tc>
          <w:tcPr>
            <w:tcW w:w="2211" w:type="dxa"/>
            <w:tcBorders>
              <w:top w:val="single" w:sz="8" w:space="0" w:color="auto"/>
              <w:left w:val="single" w:sz="8" w:space="0" w:color="595959" w:themeColor="text1" w:themeTint="A6"/>
              <w:bottom w:val="single" w:sz="8" w:space="0" w:color="595959" w:themeColor="text1" w:themeTint="A6"/>
              <w:right w:val="single" w:sz="8" w:space="0" w:color="595959" w:themeColor="text1" w:themeTint="A6"/>
            </w:tcBorders>
            <w:shd w:val="clear" w:color="auto" w:fill="DBE5F1" w:themeFill="accent1" w:themeFillTint="33"/>
            <w:vAlign w:val="center"/>
          </w:tcPr>
          <w:p w14:paraId="06D448AC" w14:textId="2E00E45A" w:rsidR="00F21C5D" w:rsidRPr="00A35C90" w:rsidRDefault="00D74667" w:rsidP="00355DB1">
            <w:pPr>
              <w:ind w:right="-10"/>
              <w:jc w:val="right"/>
              <w:rPr>
                <w:b/>
                <w:bCs/>
                <w:color w:val="000000"/>
                <w:sz w:val="20"/>
                <w:szCs w:val="20"/>
              </w:rPr>
            </w:pPr>
            <w:r>
              <w:rPr>
                <w:b/>
                <w:bCs/>
                <w:color w:val="000000"/>
                <w:sz w:val="20"/>
                <w:szCs w:val="20"/>
              </w:rPr>
              <w:t>R$</w:t>
            </w:r>
            <w:r w:rsidR="00355DB1">
              <w:rPr>
                <w:b/>
                <w:bCs/>
                <w:color w:val="000000"/>
                <w:sz w:val="20"/>
                <w:szCs w:val="20"/>
              </w:rPr>
              <w:t xml:space="preserve"> </w:t>
            </w:r>
            <w:r w:rsidR="006E613E">
              <w:rPr>
                <w:b/>
                <w:bCs/>
                <w:color w:val="000000"/>
                <w:sz w:val="20"/>
                <w:szCs w:val="20"/>
              </w:rPr>
              <w:t>5.</w:t>
            </w:r>
            <w:r w:rsidR="00231EC4">
              <w:rPr>
                <w:b/>
                <w:bCs/>
                <w:color w:val="000000"/>
                <w:sz w:val="20"/>
                <w:szCs w:val="20"/>
              </w:rPr>
              <w:t>916</w:t>
            </w:r>
            <w:r w:rsidR="006E613E">
              <w:rPr>
                <w:b/>
                <w:bCs/>
                <w:color w:val="000000"/>
                <w:sz w:val="20"/>
                <w:szCs w:val="20"/>
              </w:rPr>
              <w:t>.</w:t>
            </w:r>
            <w:r w:rsidR="00231EC4">
              <w:rPr>
                <w:b/>
                <w:bCs/>
                <w:color w:val="000000"/>
                <w:sz w:val="20"/>
                <w:szCs w:val="20"/>
              </w:rPr>
              <w:t>476</w:t>
            </w:r>
            <w:r w:rsidR="006E613E">
              <w:rPr>
                <w:b/>
                <w:bCs/>
                <w:color w:val="000000"/>
                <w:sz w:val="20"/>
                <w:szCs w:val="20"/>
              </w:rPr>
              <w:t>.</w:t>
            </w:r>
            <w:r w:rsidR="00231EC4">
              <w:rPr>
                <w:b/>
                <w:bCs/>
                <w:color w:val="000000"/>
                <w:sz w:val="20"/>
                <w:szCs w:val="20"/>
              </w:rPr>
              <w:t>877</w:t>
            </w:r>
            <w:r w:rsidR="006E613E">
              <w:rPr>
                <w:b/>
                <w:bCs/>
                <w:color w:val="000000"/>
                <w:sz w:val="20"/>
                <w:szCs w:val="20"/>
              </w:rPr>
              <w:t>,00</w:t>
            </w:r>
            <w:r>
              <w:rPr>
                <w:b/>
                <w:bCs/>
                <w:color w:val="000000"/>
                <w:sz w:val="20"/>
                <w:szCs w:val="20"/>
              </w:rPr>
              <w:t xml:space="preserve">  </w:t>
            </w:r>
            <w:r w:rsidR="00F21C5D">
              <w:rPr>
                <w:b/>
                <w:bCs/>
                <w:color w:val="000000"/>
                <w:sz w:val="20"/>
                <w:szCs w:val="20"/>
              </w:rPr>
              <w:t xml:space="preserve">        </w:t>
            </w:r>
          </w:p>
        </w:tc>
        <w:tc>
          <w:tcPr>
            <w:tcW w:w="2211" w:type="dxa"/>
            <w:tcBorders>
              <w:top w:val="single" w:sz="8" w:space="0" w:color="auto"/>
              <w:left w:val="single" w:sz="8" w:space="0" w:color="595959" w:themeColor="text1" w:themeTint="A6"/>
              <w:bottom w:val="single" w:sz="8" w:space="0" w:color="595959" w:themeColor="text1" w:themeTint="A6"/>
              <w:right w:val="single" w:sz="8" w:space="0" w:color="595959" w:themeColor="text1" w:themeTint="A6"/>
            </w:tcBorders>
            <w:shd w:val="clear" w:color="auto" w:fill="DBE5F1" w:themeFill="accent1" w:themeFillTint="33"/>
            <w:vAlign w:val="center"/>
          </w:tcPr>
          <w:p w14:paraId="1CF4BA73" w14:textId="43AE8DEC" w:rsidR="00F21C5D" w:rsidRDefault="00070D11" w:rsidP="00355DB1">
            <w:pPr>
              <w:jc w:val="right"/>
              <w:rPr>
                <w:b/>
                <w:bCs/>
                <w:color w:val="000000"/>
                <w:sz w:val="20"/>
                <w:szCs w:val="20"/>
              </w:rPr>
            </w:pPr>
            <w:r>
              <w:rPr>
                <w:b/>
                <w:bCs/>
                <w:color w:val="000000"/>
                <w:sz w:val="20"/>
                <w:szCs w:val="20"/>
              </w:rPr>
              <w:t>R$</w:t>
            </w:r>
            <w:r w:rsidR="00355DB1">
              <w:rPr>
                <w:b/>
                <w:bCs/>
                <w:color w:val="000000"/>
                <w:sz w:val="20"/>
                <w:szCs w:val="20"/>
              </w:rPr>
              <w:t xml:space="preserve"> </w:t>
            </w:r>
            <w:r>
              <w:rPr>
                <w:b/>
                <w:bCs/>
                <w:color w:val="000000"/>
                <w:sz w:val="20"/>
                <w:szCs w:val="20"/>
              </w:rPr>
              <w:t xml:space="preserve">5.916.476.877,00     </w:t>
            </w:r>
          </w:p>
        </w:tc>
        <w:tc>
          <w:tcPr>
            <w:tcW w:w="2211" w:type="dxa"/>
            <w:tcBorders>
              <w:top w:val="single" w:sz="8" w:space="0" w:color="auto"/>
              <w:left w:val="single" w:sz="8" w:space="0" w:color="595959" w:themeColor="text1" w:themeTint="A6"/>
              <w:bottom w:val="single" w:sz="8" w:space="0" w:color="595959" w:themeColor="text1" w:themeTint="A6"/>
              <w:right w:val="single" w:sz="8" w:space="0" w:color="595959" w:themeColor="text1" w:themeTint="A6"/>
            </w:tcBorders>
            <w:shd w:val="clear" w:color="auto" w:fill="DBE5F1" w:themeFill="accent1" w:themeFillTint="33"/>
            <w:vAlign w:val="center"/>
          </w:tcPr>
          <w:p w14:paraId="18F4A0D7" w14:textId="4E917596" w:rsidR="00F21C5D" w:rsidRPr="00996425" w:rsidRDefault="00355DB1" w:rsidP="00355DB1">
            <w:pPr>
              <w:jc w:val="right"/>
              <w:rPr>
                <w:b/>
                <w:sz w:val="20"/>
                <w:szCs w:val="20"/>
              </w:rPr>
            </w:pPr>
            <w:r>
              <w:rPr>
                <w:b/>
                <w:bCs/>
                <w:color w:val="000000"/>
                <w:sz w:val="20"/>
                <w:szCs w:val="20"/>
              </w:rPr>
              <w:t>R$ 5.916.476.877,00</w:t>
            </w:r>
          </w:p>
        </w:tc>
        <w:tc>
          <w:tcPr>
            <w:tcW w:w="2211" w:type="dxa"/>
            <w:tcBorders>
              <w:top w:val="single" w:sz="8" w:space="0" w:color="auto"/>
              <w:left w:val="single" w:sz="8" w:space="0" w:color="595959" w:themeColor="text1" w:themeTint="A6"/>
              <w:bottom w:val="single" w:sz="8" w:space="0" w:color="595959" w:themeColor="text1" w:themeTint="A6"/>
              <w:right w:val="single" w:sz="8" w:space="0" w:color="595959" w:themeColor="text1" w:themeTint="A6"/>
            </w:tcBorders>
            <w:shd w:val="clear" w:color="auto" w:fill="DBE5F1" w:themeFill="accent1" w:themeFillTint="33"/>
            <w:vAlign w:val="center"/>
          </w:tcPr>
          <w:p w14:paraId="37E420AA" w14:textId="1167A48E" w:rsidR="00F21C5D" w:rsidRPr="00996425" w:rsidRDefault="00EE4DF3" w:rsidP="00F665D8">
            <w:pPr>
              <w:jc w:val="right"/>
              <w:rPr>
                <w:b/>
                <w:sz w:val="20"/>
                <w:szCs w:val="20"/>
              </w:rPr>
            </w:pPr>
            <w:r>
              <w:rPr>
                <w:b/>
                <w:bCs/>
                <w:color w:val="000000"/>
                <w:sz w:val="20"/>
                <w:szCs w:val="20"/>
              </w:rPr>
              <w:t>R$ 5.916.476.877,00</w:t>
            </w:r>
          </w:p>
        </w:tc>
        <w:tc>
          <w:tcPr>
            <w:tcW w:w="2071" w:type="dxa"/>
            <w:tcBorders>
              <w:top w:val="single" w:sz="8" w:space="0" w:color="auto"/>
              <w:left w:val="single" w:sz="8" w:space="0" w:color="595959" w:themeColor="text1" w:themeTint="A6"/>
              <w:bottom w:val="single" w:sz="8" w:space="0" w:color="595959" w:themeColor="text1" w:themeTint="A6"/>
              <w:right w:val="single" w:sz="8" w:space="0" w:color="auto"/>
            </w:tcBorders>
            <w:shd w:val="clear" w:color="auto" w:fill="DBE5F1" w:themeFill="accent1" w:themeFillTint="33"/>
            <w:vAlign w:val="center"/>
          </w:tcPr>
          <w:p w14:paraId="45C5E283" w14:textId="74CA97AB" w:rsidR="00F21C5D" w:rsidRPr="00996425" w:rsidRDefault="00814F91" w:rsidP="00814F91">
            <w:pPr>
              <w:jc w:val="right"/>
              <w:rPr>
                <w:b/>
                <w:sz w:val="20"/>
                <w:szCs w:val="20"/>
              </w:rPr>
            </w:pPr>
            <w:r>
              <w:rPr>
                <w:b/>
                <w:bCs/>
                <w:color w:val="000000"/>
                <w:sz w:val="20"/>
                <w:szCs w:val="20"/>
              </w:rPr>
              <w:t xml:space="preserve">R$ 5.916.476.877,00        </w:t>
            </w:r>
          </w:p>
        </w:tc>
      </w:tr>
      <w:tr w:rsidR="00814F91" w14:paraId="066CD8EF" w14:textId="77777777" w:rsidTr="00814F91">
        <w:trPr>
          <w:trHeight w:val="340"/>
        </w:trPr>
        <w:tc>
          <w:tcPr>
            <w:tcW w:w="3676" w:type="dxa"/>
            <w:tcBorders>
              <w:top w:val="single" w:sz="8" w:space="0" w:color="595959" w:themeColor="text1" w:themeTint="A6"/>
              <w:left w:val="single" w:sz="8" w:space="0" w:color="auto"/>
              <w:bottom w:val="single" w:sz="8" w:space="0" w:color="595959" w:themeColor="text1" w:themeTint="A6"/>
              <w:right w:val="single" w:sz="8" w:space="0" w:color="595959" w:themeColor="text1" w:themeTint="A6"/>
            </w:tcBorders>
            <w:shd w:val="clear" w:color="auto" w:fill="auto"/>
            <w:vAlign w:val="center"/>
            <w:hideMark/>
          </w:tcPr>
          <w:p w14:paraId="488975EE" w14:textId="77777777" w:rsidR="00814F91" w:rsidRPr="00BC3037" w:rsidRDefault="00814F91" w:rsidP="00814F91">
            <w:pPr>
              <w:rPr>
                <w:b/>
                <w:bCs/>
                <w:color w:val="000000"/>
                <w:sz w:val="20"/>
                <w:szCs w:val="20"/>
              </w:rPr>
            </w:pPr>
            <w:r w:rsidRPr="00BC3037">
              <w:rPr>
                <w:b/>
                <w:bCs/>
                <w:color w:val="000000"/>
                <w:sz w:val="20"/>
                <w:szCs w:val="20"/>
              </w:rPr>
              <w:t>Valor total da limitação</w:t>
            </w: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vAlign w:val="center"/>
          </w:tcPr>
          <w:p w14:paraId="5C7E175B" w14:textId="039EA799" w:rsidR="00814F91" w:rsidRPr="00A35C90" w:rsidRDefault="00814F91" w:rsidP="00814F91">
            <w:pPr>
              <w:jc w:val="right"/>
              <w:rPr>
                <w:color w:val="000000"/>
                <w:sz w:val="20"/>
                <w:szCs w:val="20"/>
              </w:rPr>
            </w:pPr>
            <w:r>
              <w:rPr>
                <w:color w:val="000000"/>
                <w:sz w:val="20"/>
                <w:szCs w:val="20"/>
              </w:rPr>
              <w:t>-</w:t>
            </w: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721BE31" w14:textId="065E8D86" w:rsidR="00814F91" w:rsidRDefault="00814F91" w:rsidP="00814F91">
            <w:pPr>
              <w:jc w:val="right"/>
              <w:rPr>
                <w:color w:val="000000"/>
                <w:sz w:val="20"/>
                <w:szCs w:val="20"/>
              </w:rPr>
            </w:pPr>
            <w:r>
              <w:rPr>
                <w:color w:val="000000"/>
                <w:sz w:val="20"/>
                <w:szCs w:val="20"/>
              </w:rPr>
              <w:t>-</w:t>
            </w: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E15FF1F" w14:textId="15A93C49" w:rsidR="00814F91" w:rsidRPr="00355DB1" w:rsidRDefault="00814F91" w:rsidP="00814F91">
            <w:pPr>
              <w:jc w:val="right"/>
              <w:rPr>
                <w:sz w:val="20"/>
                <w:szCs w:val="20"/>
              </w:rPr>
            </w:pPr>
            <w:r w:rsidRPr="00355DB1">
              <w:rPr>
                <w:sz w:val="20"/>
                <w:szCs w:val="20"/>
              </w:rPr>
              <w:t>R$</w:t>
            </w:r>
            <w:r>
              <w:rPr>
                <w:sz w:val="20"/>
                <w:szCs w:val="20"/>
              </w:rPr>
              <w:t xml:space="preserve"> </w:t>
            </w:r>
            <w:r w:rsidRPr="00355DB1">
              <w:rPr>
                <w:sz w:val="20"/>
                <w:szCs w:val="20"/>
              </w:rPr>
              <w:t>4.042.704,00</w:t>
            </w: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36133986" w14:textId="347A7F11" w:rsidR="00814F91" w:rsidRPr="00A35C90" w:rsidRDefault="00814F91" w:rsidP="00814F91">
            <w:pPr>
              <w:ind w:right="326"/>
              <w:jc w:val="right"/>
              <w:rPr>
                <w:color w:val="000000"/>
                <w:sz w:val="20"/>
                <w:szCs w:val="20"/>
              </w:rPr>
            </w:pPr>
          </w:p>
        </w:tc>
        <w:tc>
          <w:tcPr>
            <w:tcW w:w="207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A92A266" w14:textId="33A80786" w:rsidR="00814F91" w:rsidRPr="00A35C90" w:rsidRDefault="00814F91" w:rsidP="00814F91">
            <w:pPr>
              <w:jc w:val="right"/>
              <w:rPr>
                <w:color w:val="000000"/>
                <w:sz w:val="20"/>
                <w:szCs w:val="20"/>
              </w:rPr>
            </w:pPr>
            <w:r>
              <w:rPr>
                <w:color w:val="000000"/>
                <w:sz w:val="20"/>
                <w:szCs w:val="20"/>
              </w:rPr>
              <w:t>-</w:t>
            </w:r>
          </w:p>
        </w:tc>
      </w:tr>
      <w:tr w:rsidR="00814F91" w14:paraId="6665297C" w14:textId="77777777" w:rsidTr="00814F91">
        <w:trPr>
          <w:trHeight w:val="340"/>
        </w:trPr>
        <w:tc>
          <w:tcPr>
            <w:tcW w:w="3676" w:type="dxa"/>
            <w:tcBorders>
              <w:top w:val="single" w:sz="8" w:space="0" w:color="595959" w:themeColor="text1" w:themeTint="A6"/>
              <w:left w:val="single" w:sz="8" w:space="0" w:color="auto"/>
              <w:bottom w:val="single" w:sz="8" w:space="0" w:color="595959" w:themeColor="text1" w:themeTint="A6"/>
              <w:right w:val="single" w:sz="8" w:space="0" w:color="595959" w:themeColor="text1" w:themeTint="A6"/>
            </w:tcBorders>
            <w:shd w:val="clear" w:color="auto" w:fill="auto"/>
            <w:vAlign w:val="center"/>
          </w:tcPr>
          <w:p w14:paraId="18CAECF1" w14:textId="77777777" w:rsidR="00814F91" w:rsidRPr="00BC3037" w:rsidRDefault="00814F91" w:rsidP="00814F91">
            <w:pPr>
              <w:rPr>
                <w:b/>
                <w:bCs/>
                <w:color w:val="000000"/>
                <w:sz w:val="20"/>
                <w:szCs w:val="20"/>
              </w:rPr>
            </w:pPr>
            <w:r w:rsidRPr="00BC3037">
              <w:rPr>
                <w:b/>
                <w:bCs/>
                <w:color w:val="000000"/>
                <w:sz w:val="20"/>
                <w:szCs w:val="20"/>
              </w:rPr>
              <w:t>Valor total do restabelecimento</w:t>
            </w: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vAlign w:val="center"/>
          </w:tcPr>
          <w:p w14:paraId="3BF0A228" w14:textId="78904529" w:rsidR="00814F91" w:rsidRPr="00A35C90" w:rsidRDefault="00814F91" w:rsidP="00814F91">
            <w:pPr>
              <w:jc w:val="right"/>
              <w:rPr>
                <w:color w:val="000000"/>
                <w:sz w:val="20"/>
                <w:szCs w:val="20"/>
              </w:rPr>
            </w:pPr>
            <w:r>
              <w:rPr>
                <w:color w:val="000000"/>
                <w:sz w:val="20"/>
                <w:szCs w:val="20"/>
              </w:rPr>
              <w:t>-</w:t>
            </w: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41638FD8" w14:textId="7467FC48" w:rsidR="00814F91" w:rsidRDefault="00814F91" w:rsidP="00814F91">
            <w:pPr>
              <w:jc w:val="right"/>
              <w:rPr>
                <w:color w:val="000000"/>
                <w:sz w:val="20"/>
                <w:szCs w:val="20"/>
              </w:rPr>
            </w:pPr>
            <w:r>
              <w:rPr>
                <w:color w:val="000000"/>
                <w:sz w:val="20"/>
                <w:szCs w:val="20"/>
              </w:rPr>
              <w:t>-</w:t>
            </w: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989B2BF" w14:textId="500B9153" w:rsidR="00814F91" w:rsidRPr="00355DB1" w:rsidRDefault="00814F91" w:rsidP="00814F91">
            <w:pPr>
              <w:ind w:right="42"/>
              <w:jc w:val="right"/>
              <w:rPr>
                <w:sz w:val="20"/>
                <w:szCs w:val="20"/>
              </w:rPr>
            </w:pPr>
            <w:r w:rsidRPr="00355DB1">
              <w:rPr>
                <w:sz w:val="20"/>
                <w:szCs w:val="20"/>
              </w:rPr>
              <w:t>-</w:t>
            </w: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72028077" w14:textId="109B8889" w:rsidR="00814F91" w:rsidRPr="00A35C90" w:rsidRDefault="00814F91" w:rsidP="00814F91">
            <w:pPr>
              <w:ind w:right="326"/>
              <w:jc w:val="right"/>
              <w:rPr>
                <w:color w:val="000000"/>
                <w:sz w:val="20"/>
                <w:szCs w:val="20"/>
              </w:rPr>
            </w:pPr>
            <w:r w:rsidRPr="00355DB1">
              <w:rPr>
                <w:sz w:val="20"/>
                <w:szCs w:val="20"/>
              </w:rPr>
              <w:t>R$</w:t>
            </w:r>
            <w:r>
              <w:rPr>
                <w:sz w:val="20"/>
                <w:szCs w:val="20"/>
              </w:rPr>
              <w:t xml:space="preserve"> </w:t>
            </w:r>
            <w:r w:rsidRPr="00355DB1">
              <w:rPr>
                <w:sz w:val="20"/>
                <w:szCs w:val="20"/>
              </w:rPr>
              <w:t>4.042.704,00</w:t>
            </w:r>
          </w:p>
        </w:tc>
        <w:tc>
          <w:tcPr>
            <w:tcW w:w="207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5075C19" w14:textId="50357266" w:rsidR="00814F91" w:rsidRPr="00A35C90" w:rsidRDefault="00814F91" w:rsidP="00814F91">
            <w:pPr>
              <w:jc w:val="right"/>
              <w:rPr>
                <w:color w:val="000000"/>
                <w:sz w:val="20"/>
                <w:szCs w:val="20"/>
              </w:rPr>
            </w:pPr>
            <w:r>
              <w:rPr>
                <w:color w:val="000000"/>
                <w:sz w:val="20"/>
                <w:szCs w:val="20"/>
              </w:rPr>
              <w:t>-</w:t>
            </w:r>
          </w:p>
        </w:tc>
      </w:tr>
      <w:tr w:rsidR="00814F91" w:rsidRPr="00814F91" w14:paraId="44A00B3D" w14:textId="77777777" w:rsidTr="00814F91">
        <w:trPr>
          <w:trHeight w:val="340"/>
        </w:trPr>
        <w:tc>
          <w:tcPr>
            <w:tcW w:w="3676" w:type="dxa"/>
            <w:tcBorders>
              <w:top w:val="single" w:sz="8" w:space="0" w:color="595959" w:themeColor="text1" w:themeTint="A6"/>
              <w:left w:val="single" w:sz="8" w:space="0" w:color="auto"/>
              <w:bottom w:val="single" w:sz="8" w:space="0" w:color="595959" w:themeColor="text1" w:themeTint="A6"/>
              <w:right w:val="single" w:sz="8" w:space="0" w:color="FFFFFF" w:themeColor="background1"/>
            </w:tcBorders>
            <w:shd w:val="clear" w:color="auto" w:fill="244061" w:themeFill="accent1" w:themeFillShade="80"/>
            <w:vAlign w:val="center"/>
            <w:hideMark/>
          </w:tcPr>
          <w:p w14:paraId="51F5644B" w14:textId="08B88FC4" w:rsidR="00814F91" w:rsidRPr="00BC3037" w:rsidRDefault="00814F91" w:rsidP="00814F91">
            <w:pPr>
              <w:rPr>
                <w:b/>
                <w:bCs/>
                <w:color w:val="FFFFFF"/>
                <w:sz w:val="20"/>
                <w:szCs w:val="20"/>
              </w:rPr>
            </w:pPr>
            <w:r w:rsidRPr="00BC3037">
              <w:rPr>
                <w:b/>
                <w:bCs/>
                <w:color w:val="FFFFFF"/>
                <w:sz w:val="20"/>
                <w:szCs w:val="20"/>
              </w:rPr>
              <w:t xml:space="preserve">Posição </w:t>
            </w:r>
            <w:r>
              <w:rPr>
                <w:b/>
                <w:bCs/>
                <w:color w:val="FFFFFF"/>
                <w:sz w:val="20"/>
                <w:szCs w:val="20"/>
              </w:rPr>
              <w:t>a</w:t>
            </w:r>
            <w:r w:rsidRPr="00BC3037">
              <w:rPr>
                <w:b/>
                <w:bCs/>
                <w:color w:val="FFFFFF"/>
                <w:sz w:val="20"/>
                <w:szCs w:val="20"/>
              </w:rPr>
              <w:t xml:space="preserve">tualizada da </w:t>
            </w:r>
            <w:r>
              <w:rPr>
                <w:b/>
                <w:bCs/>
                <w:color w:val="FFFFFF"/>
                <w:sz w:val="20"/>
                <w:szCs w:val="20"/>
              </w:rPr>
              <w:t>l</w:t>
            </w:r>
            <w:r w:rsidRPr="00BC3037">
              <w:rPr>
                <w:b/>
                <w:bCs/>
                <w:color w:val="FFFFFF"/>
                <w:sz w:val="20"/>
                <w:szCs w:val="20"/>
              </w:rPr>
              <w:t>imitação</w:t>
            </w:r>
            <w:r>
              <w:rPr>
                <w:b/>
                <w:bCs/>
                <w:color w:val="FFFFFF"/>
                <w:sz w:val="20"/>
                <w:szCs w:val="20"/>
              </w:rPr>
              <w:t xml:space="preserve"> </w:t>
            </w:r>
            <w:r w:rsidRPr="00147BC7">
              <w:rPr>
                <w:b/>
                <w:bCs/>
                <w:color w:val="FFFFFF" w:themeColor="background1"/>
                <w:sz w:val="20"/>
                <w:szCs w:val="20"/>
                <w:vertAlign w:val="superscript"/>
              </w:rPr>
              <w:t>(</w:t>
            </w:r>
            <w:r w:rsidRPr="00147BC7">
              <w:rPr>
                <w:b/>
                <w:bCs/>
                <w:color w:val="FFFFFF" w:themeColor="background1"/>
                <w:sz w:val="20"/>
                <w:szCs w:val="20"/>
                <w:vertAlign w:val="superscript"/>
              </w:rPr>
              <w:footnoteReference w:id="1"/>
            </w:r>
            <w:r w:rsidRPr="00147BC7">
              <w:rPr>
                <w:b/>
                <w:bCs/>
                <w:color w:val="FFFFFF" w:themeColor="background1"/>
                <w:sz w:val="20"/>
                <w:szCs w:val="20"/>
                <w:vertAlign w:val="superscript"/>
              </w:rPr>
              <w:t>)</w:t>
            </w:r>
          </w:p>
        </w:tc>
        <w:tc>
          <w:tcPr>
            <w:tcW w:w="2211" w:type="dxa"/>
            <w:tcBorders>
              <w:top w:val="single" w:sz="8" w:space="0" w:color="595959" w:themeColor="text1" w:themeTint="A6"/>
              <w:left w:val="single" w:sz="8" w:space="0" w:color="FFFFFF" w:themeColor="background1"/>
              <w:bottom w:val="single" w:sz="8" w:space="0" w:color="595959" w:themeColor="text1" w:themeTint="A6"/>
              <w:right w:val="single" w:sz="8" w:space="0" w:color="FFFFFF" w:themeColor="background1"/>
            </w:tcBorders>
            <w:shd w:val="clear" w:color="auto" w:fill="244061" w:themeFill="accent1" w:themeFillShade="80"/>
            <w:vAlign w:val="center"/>
          </w:tcPr>
          <w:p w14:paraId="4E1580D0" w14:textId="51BA3905" w:rsidR="00814F91" w:rsidRPr="00A35C90" w:rsidRDefault="00814F91" w:rsidP="00814F91">
            <w:pPr>
              <w:jc w:val="right"/>
              <w:rPr>
                <w:b/>
                <w:bCs/>
                <w:color w:val="FFFFFF"/>
                <w:sz w:val="20"/>
                <w:szCs w:val="20"/>
              </w:rPr>
            </w:pPr>
            <w:r>
              <w:rPr>
                <w:b/>
                <w:bCs/>
                <w:color w:val="FFFFFF"/>
                <w:sz w:val="20"/>
                <w:szCs w:val="20"/>
              </w:rPr>
              <w:t>-</w:t>
            </w:r>
          </w:p>
        </w:tc>
        <w:tc>
          <w:tcPr>
            <w:tcW w:w="2211" w:type="dxa"/>
            <w:tcBorders>
              <w:top w:val="single" w:sz="8" w:space="0" w:color="595959" w:themeColor="text1" w:themeTint="A6"/>
              <w:left w:val="single" w:sz="8" w:space="0" w:color="FFFFFF" w:themeColor="background1"/>
              <w:bottom w:val="single" w:sz="8" w:space="0" w:color="595959" w:themeColor="text1" w:themeTint="A6"/>
              <w:right w:val="single" w:sz="8" w:space="0" w:color="FFFFFF" w:themeColor="background1"/>
            </w:tcBorders>
            <w:shd w:val="clear" w:color="auto" w:fill="244061" w:themeFill="accent1" w:themeFillShade="80"/>
            <w:vAlign w:val="center"/>
          </w:tcPr>
          <w:p w14:paraId="36D12730" w14:textId="5446559C" w:rsidR="00814F91" w:rsidRPr="00401B8F" w:rsidRDefault="00814F91" w:rsidP="00814F91">
            <w:pPr>
              <w:jc w:val="right"/>
              <w:rPr>
                <w:color w:val="000000"/>
                <w:sz w:val="20"/>
                <w:szCs w:val="20"/>
              </w:rPr>
            </w:pPr>
            <w:r>
              <w:rPr>
                <w:b/>
                <w:bCs/>
                <w:color w:val="FFFFFF"/>
                <w:sz w:val="20"/>
                <w:szCs w:val="20"/>
              </w:rPr>
              <w:t>-</w:t>
            </w:r>
          </w:p>
        </w:tc>
        <w:tc>
          <w:tcPr>
            <w:tcW w:w="2211" w:type="dxa"/>
            <w:tcBorders>
              <w:top w:val="single" w:sz="8" w:space="0" w:color="595959" w:themeColor="text1" w:themeTint="A6"/>
              <w:left w:val="single" w:sz="8" w:space="0" w:color="FFFFFF" w:themeColor="background1"/>
              <w:bottom w:val="single" w:sz="8" w:space="0" w:color="595959" w:themeColor="text1" w:themeTint="A6"/>
              <w:right w:val="single" w:sz="8" w:space="0" w:color="FFFFFF" w:themeColor="background1"/>
            </w:tcBorders>
            <w:shd w:val="clear" w:color="auto" w:fill="244061" w:themeFill="accent1" w:themeFillShade="80"/>
            <w:vAlign w:val="center"/>
          </w:tcPr>
          <w:p w14:paraId="29FB9729" w14:textId="0D8C395A" w:rsidR="00814F91" w:rsidRPr="00355DB1" w:rsidRDefault="00814F91" w:rsidP="00814F91">
            <w:pPr>
              <w:jc w:val="right"/>
              <w:rPr>
                <w:b/>
                <w:bCs/>
                <w:color w:val="000000"/>
                <w:sz w:val="20"/>
                <w:szCs w:val="20"/>
              </w:rPr>
            </w:pPr>
            <w:r w:rsidRPr="00355DB1">
              <w:rPr>
                <w:b/>
                <w:bCs/>
                <w:sz w:val="20"/>
                <w:szCs w:val="20"/>
              </w:rPr>
              <w:t>R$ 4.042.704,00</w:t>
            </w:r>
          </w:p>
        </w:tc>
        <w:tc>
          <w:tcPr>
            <w:tcW w:w="2211" w:type="dxa"/>
            <w:tcBorders>
              <w:top w:val="single" w:sz="8" w:space="0" w:color="595959" w:themeColor="text1" w:themeTint="A6"/>
              <w:left w:val="single" w:sz="8" w:space="0" w:color="FFFFFF" w:themeColor="background1"/>
              <w:bottom w:val="single" w:sz="8" w:space="0" w:color="595959" w:themeColor="text1" w:themeTint="A6"/>
              <w:right w:val="single" w:sz="8" w:space="0" w:color="FFFFFF" w:themeColor="background1"/>
            </w:tcBorders>
            <w:shd w:val="clear" w:color="auto" w:fill="244061" w:themeFill="accent1" w:themeFillShade="80"/>
            <w:vAlign w:val="center"/>
          </w:tcPr>
          <w:p w14:paraId="1FD65DD6" w14:textId="21605B8D" w:rsidR="00814F91" w:rsidRPr="00A03A7A" w:rsidRDefault="00814F91" w:rsidP="00814F91">
            <w:pPr>
              <w:ind w:right="43"/>
              <w:jc w:val="right"/>
              <w:rPr>
                <w:color w:val="FFFFFF" w:themeColor="background1"/>
                <w:sz w:val="20"/>
                <w:szCs w:val="20"/>
              </w:rPr>
            </w:pPr>
            <w:r w:rsidRPr="00A03A7A">
              <w:rPr>
                <w:color w:val="FFFFFF" w:themeColor="background1"/>
                <w:sz w:val="20"/>
                <w:szCs w:val="20"/>
              </w:rPr>
              <w:t>-</w:t>
            </w:r>
          </w:p>
        </w:tc>
        <w:tc>
          <w:tcPr>
            <w:tcW w:w="2071" w:type="dxa"/>
            <w:tcBorders>
              <w:top w:val="single" w:sz="8" w:space="0" w:color="595959" w:themeColor="text1" w:themeTint="A6"/>
              <w:left w:val="single" w:sz="8" w:space="0" w:color="FFFFFF" w:themeColor="background1"/>
              <w:bottom w:val="single" w:sz="8" w:space="0" w:color="595959" w:themeColor="text1" w:themeTint="A6"/>
              <w:right w:val="single" w:sz="8" w:space="0" w:color="FFFFFF" w:themeColor="background1"/>
            </w:tcBorders>
            <w:shd w:val="clear" w:color="auto" w:fill="244061" w:themeFill="accent1" w:themeFillShade="80"/>
            <w:vAlign w:val="center"/>
          </w:tcPr>
          <w:p w14:paraId="7DDA8EAA" w14:textId="2D72A147" w:rsidR="00814F91" w:rsidRPr="00814F91" w:rsidRDefault="00814F91" w:rsidP="00814F91">
            <w:pPr>
              <w:jc w:val="right"/>
              <w:rPr>
                <w:b/>
                <w:bCs/>
                <w:sz w:val="20"/>
                <w:szCs w:val="20"/>
              </w:rPr>
            </w:pPr>
            <w:r w:rsidRPr="00814F91">
              <w:rPr>
                <w:b/>
                <w:bCs/>
                <w:sz w:val="20"/>
                <w:szCs w:val="20"/>
              </w:rPr>
              <w:t>-</w:t>
            </w:r>
          </w:p>
        </w:tc>
      </w:tr>
      <w:tr w:rsidR="00814F91" w14:paraId="40580DE9" w14:textId="77777777" w:rsidTr="00814F91">
        <w:trPr>
          <w:trHeight w:val="113"/>
        </w:trPr>
        <w:tc>
          <w:tcPr>
            <w:tcW w:w="3676" w:type="dxa"/>
            <w:tcBorders>
              <w:top w:val="single" w:sz="8" w:space="0" w:color="595959" w:themeColor="text1" w:themeTint="A6"/>
              <w:bottom w:val="single" w:sz="8" w:space="0" w:color="595959" w:themeColor="text1" w:themeTint="A6"/>
            </w:tcBorders>
            <w:shd w:val="clear" w:color="auto" w:fill="auto"/>
            <w:vAlign w:val="center"/>
          </w:tcPr>
          <w:p w14:paraId="5F67DD45" w14:textId="77777777" w:rsidR="00814F91" w:rsidRPr="00BC3037" w:rsidRDefault="00814F91" w:rsidP="00814F91">
            <w:pPr>
              <w:rPr>
                <w:b/>
                <w:bCs/>
                <w:color w:val="000000"/>
                <w:sz w:val="20"/>
                <w:szCs w:val="20"/>
              </w:rPr>
            </w:pPr>
          </w:p>
        </w:tc>
        <w:tc>
          <w:tcPr>
            <w:tcW w:w="2211" w:type="dxa"/>
            <w:tcBorders>
              <w:top w:val="single" w:sz="8" w:space="0" w:color="595959" w:themeColor="text1" w:themeTint="A6"/>
              <w:bottom w:val="single" w:sz="8" w:space="0" w:color="595959" w:themeColor="text1" w:themeTint="A6"/>
            </w:tcBorders>
            <w:shd w:val="clear" w:color="auto" w:fill="auto"/>
            <w:vAlign w:val="center"/>
          </w:tcPr>
          <w:p w14:paraId="2EA07902" w14:textId="77777777" w:rsidR="00814F91" w:rsidRPr="0072517D" w:rsidRDefault="00814F91" w:rsidP="00814F91">
            <w:pPr>
              <w:jc w:val="right"/>
              <w:rPr>
                <w:color w:val="000000"/>
                <w:sz w:val="4"/>
                <w:szCs w:val="4"/>
              </w:rPr>
            </w:pPr>
          </w:p>
        </w:tc>
        <w:tc>
          <w:tcPr>
            <w:tcW w:w="2211" w:type="dxa"/>
            <w:tcBorders>
              <w:top w:val="single" w:sz="8" w:space="0" w:color="595959" w:themeColor="text1" w:themeTint="A6"/>
              <w:bottom w:val="single" w:sz="8" w:space="0" w:color="595959" w:themeColor="text1" w:themeTint="A6"/>
            </w:tcBorders>
            <w:shd w:val="clear" w:color="auto" w:fill="auto"/>
            <w:vAlign w:val="center"/>
          </w:tcPr>
          <w:p w14:paraId="5D4F0C81" w14:textId="77777777" w:rsidR="00814F91" w:rsidRPr="0072517D" w:rsidRDefault="00814F91" w:rsidP="00814F91">
            <w:pPr>
              <w:spacing w:before="100" w:beforeAutospacing="1" w:after="100" w:afterAutospacing="1"/>
              <w:jc w:val="right"/>
              <w:rPr>
                <w:color w:val="000000"/>
                <w:sz w:val="4"/>
                <w:szCs w:val="4"/>
              </w:rPr>
            </w:pPr>
          </w:p>
        </w:tc>
        <w:tc>
          <w:tcPr>
            <w:tcW w:w="2211" w:type="dxa"/>
            <w:tcBorders>
              <w:top w:val="single" w:sz="8" w:space="0" w:color="595959" w:themeColor="text1" w:themeTint="A6"/>
              <w:bottom w:val="single" w:sz="8" w:space="0" w:color="595959" w:themeColor="text1" w:themeTint="A6"/>
            </w:tcBorders>
            <w:shd w:val="clear" w:color="auto" w:fill="auto"/>
            <w:vAlign w:val="center"/>
          </w:tcPr>
          <w:p w14:paraId="3C9F9558" w14:textId="77777777" w:rsidR="00814F91" w:rsidRPr="0072517D" w:rsidRDefault="00814F91" w:rsidP="00814F91">
            <w:pPr>
              <w:spacing w:before="100" w:beforeAutospacing="1" w:after="100" w:afterAutospacing="1"/>
              <w:jc w:val="right"/>
              <w:rPr>
                <w:color w:val="000000"/>
                <w:sz w:val="4"/>
                <w:szCs w:val="4"/>
              </w:rPr>
            </w:pPr>
          </w:p>
        </w:tc>
        <w:tc>
          <w:tcPr>
            <w:tcW w:w="2211" w:type="dxa"/>
            <w:tcBorders>
              <w:top w:val="single" w:sz="8" w:space="0" w:color="595959" w:themeColor="text1" w:themeTint="A6"/>
              <w:bottom w:val="single" w:sz="8" w:space="0" w:color="595959" w:themeColor="text1" w:themeTint="A6"/>
            </w:tcBorders>
            <w:shd w:val="clear" w:color="auto" w:fill="auto"/>
            <w:vAlign w:val="center"/>
          </w:tcPr>
          <w:p w14:paraId="51311AB3" w14:textId="77777777" w:rsidR="00814F91" w:rsidRPr="0072517D" w:rsidRDefault="00814F91" w:rsidP="00814F91">
            <w:pPr>
              <w:spacing w:before="100" w:beforeAutospacing="1" w:after="100" w:afterAutospacing="1"/>
              <w:jc w:val="right"/>
              <w:rPr>
                <w:color w:val="000000"/>
                <w:sz w:val="4"/>
                <w:szCs w:val="4"/>
              </w:rPr>
            </w:pPr>
          </w:p>
        </w:tc>
        <w:tc>
          <w:tcPr>
            <w:tcW w:w="2071" w:type="dxa"/>
            <w:tcBorders>
              <w:top w:val="single" w:sz="8" w:space="0" w:color="595959" w:themeColor="text1" w:themeTint="A6"/>
              <w:bottom w:val="single" w:sz="8" w:space="0" w:color="595959" w:themeColor="text1" w:themeTint="A6"/>
            </w:tcBorders>
            <w:shd w:val="clear" w:color="auto" w:fill="auto"/>
            <w:vAlign w:val="center"/>
          </w:tcPr>
          <w:p w14:paraId="63DA14AD" w14:textId="77777777" w:rsidR="00814F91" w:rsidRPr="0072517D" w:rsidRDefault="00814F91" w:rsidP="00814F91">
            <w:pPr>
              <w:spacing w:before="100" w:beforeAutospacing="1" w:after="100" w:afterAutospacing="1"/>
              <w:jc w:val="right"/>
              <w:rPr>
                <w:color w:val="000000"/>
                <w:sz w:val="4"/>
                <w:szCs w:val="4"/>
              </w:rPr>
            </w:pPr>
          </w:p>
        </w:tc>
      </w:tr>
      <w:tr w:rsidR="00814F91" w14:paraId="4B6F28B5" w14:textId="77777777" w:rsidTr="00AD5CD0">
        <w:trPr>
          <w:trHeight w:val="454"/>
        </w:trPr>
        <w:tc>
          <w:tcPr>
            <w:tcW w:w="367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vAlign w:val="center"/>
            <w:hideMark/>
          </w:tcPr>
          <w:p w14:paraId="4ADC0A30" w14:textId="2F3D1D59" w:rsidR="00814F91" w:rsidRPr="00BC3037" w:rsidRDefault="00814F91" w:rsidP="00814F91">
            <w:pPr>
              <w:rPr>
                <w:b/>
                <w:bCs/>
                <w:color w:val="000000"/>
                <w:sz w:val="20"/>
                <w:szCs w:val="20"/>
              </w:rPr>
            </w:pPr>
            <w:r w:rsidRPr="00BC3037">
              <w:rPr>
                <w:b/>
                <w:bCs/>
                <w:color w:val="000000"/>
                <w:sz w:val="20"/>
                <w:szCs w:val="20"/>
              </w:rPr>
              <w:t>Norma(s) de limitação/restabelecimento</w:t>
            </w: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thinReverseDiagStripe" w:color="365F91" w:themeColor="accent1" w:themeShade="BF" w:fill="auto"/>
            <w:vAlign w:val="center"/>
          </w:tcPr>
          <w:p w14:paraId="767FA3E8" w14:textId="4ECBC78A" w:rsidR="00814F91" w:rsidRPr="00EC7597" w:rsidRDefault="00814F91" w:rsidP="00814F91">
            <w:pPr>
              <w:jc w:val="right"/>
              <w:rPr>
                <w:color w:val="000000"/>
                <w:sz w:val="18"/>
                <w:szCs w:val="18"/>
              </w:rPr>
            </w:pP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thinReverseDiagStripe" w:color="365F91" w:themeColor="accent1" w:themeShade="BF" w:fill="auto"/>
            <w:vAlign w:val="center"/>
          </w:tcPr>
          <w:p w14:paraId="74A5BA42" w14:textId="77777777" w:rsidR="00814F91" w:rsidRPr="00973F54" w:rsidRDefault="00814F91" w:rsidP="00814F91">
            <w:pPr>
              <w:jc w:val="right"/>
              <w:rPr>
                <w:color w:val="000000"/>
                <w:sz w:val="18"/>
                <w:szCs w:val="18"/>
              </w:rPr>
            </w:pP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vAlign w:val="center"/>
          </w:tcPr>
          <w:p w14:paraId="19BFFEA2" w14:textId="1789156C" w:rsidR="00814F91" w:rsidRPr="00355DB1" w:rsidRDefault="00814F91" w:rsidP="00814F91">
            <w:pPr>
              <w:spacing w:before="100" w:beforeAutospacing="1" w:after="100" w:afterAutospacing="1"/>
              <w:jc w:val="center"/>
              <w:rPr>
                <w:color w:val="000000"/>
                <w:sz w:val="17"/>
                <w:szCs w:val="17"/>
              </w:rPr>
            </w:pPr>
            <w:r w:rsidRPr="00355DB1">
              <w:rPr>
                <w:color w:val="000000"/>
                <w:sz w:val="17"/>
                <w:szCs w:val="17"/>
              </w:rPr>
              <w:t>Ato da Diretoria-Geral nº 21, de 31/07/2024</w:t>
            </w: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vAlign w:val="center"/>
          </w:tcPr>
          <w:p w14:paraId="6F4FCC82" w14:textId="6FC10F2F" w:rsidR="00814F91" w:rsidRPr="00355DB1" w:rsidRDefault="00814F91" w:rsidP="00814F91">
            <w:pPr>
              <w:spacing w:before="100" w:beforeAutospacing="1" w:after="100" w:afterAutospacing="1"/>
              <w:jc w:val="center"/>
              <w:rPr>
                <w:color w:val="000000"/>
                <w:sz w:val="17"/>
                <w:szCs w:val="17"/>
              </w:rPr>
            </w:pPr>
            <w:r w:rsidRPr="00355DB1">
              <w:rPr>
                <w:color w:val="000000"/>
                <w:sz w:val="17"/>
                <w:szCs w:val="17"/>
              </w:rPr>
              <w:t>Ato da Diretoria-Geral nº 2</w:t>
            </w:r>
            <w:r>
              <w:rPr>
                <w:color w:val="000000"/>
                <w:sz w:val="17"/>
                <w:szCs w:val="17"/>
              </w:rPr>
              <w:t>9</w:t>
            </w:r>
            <w:r w:rsidRPr="00355DB1">
              <w:rPr>
                <w:color w:val="000000"/>
                <w:sz w:val="17"/>
                <w:szCs w:val="17"/>
              </w:rPr>
              <w:t xml:space="preserve">, de </w:t>
            </w:r>
            <w:r>
              <w:rPr>
                <w:color w:val="000000"/>
                <w:sz w:val="17"/>
                <w:szCs w:val="17"/>
              </w:rPr>
              <w:t>26</w:t>
            </w:r>
            <w:r w:rsidRPr="00355DB1">
              <w:rPr>
                <w:color w:val="000000"/>
                <w:sz w:val="17"/>
                <w:szCs w:val="17"/>
              </w:rPr>
              <w:t>/0</w:t>
            </w:r>
            <w:r>
              <w:rPr>
                <w:color w:val="000000"/>
                <w:sz w:val="17"/>
                <w:szCs w:val="17"/>
              </w:rPr>
              <w:t>9</w:t>
            </w:r>
            <w:r w:rsidRPr="00355DB1">
              <w:rPr>
                <w:color w:val="000000"/>
                <w:sz w:val="17"/>
                <w:szCs w:val="17"/>
              </w:rPr>
              <w:t>/2024</w:t>
            </w:r>
          </w:p>
        </w:tc>
        <w:tc>
          <w:tcPr>
            <w:tcW w:w="207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thinReverseDiagStripe" w:color="365F91" w:themeColor="accent1" w:themeShade="BF" w:fill="auto"/>
            <w:vAlign w:val="center"/>
          </w:tcPr>
          <w:p w14:paraId="6365976D" w14:textId="77777777" w:rsidR="00814F91" w:rsidRPr="00814F91" w:rsidRDefault="00814F91" w:rsidP="00814F91">
            <w:pPr>
              <w:jc w:val="right"/>
              <w:rPr>
                <w:color w:val="000000"/>
                <w:sz w:val="18"/>
                <w:szCs w:val="18"/>
              </w:rPr>
            </w:pPr>
          </w:p>
        </w:tc>
      </w:tr>
      <w:tr w:rsidR="00814F91" w14:paraId="1CE37F0E" w14:textId="77777777" w:rsidTr="00AD5CD0">
        <w:trPr>
          <w:trHeight w:val="454"/>
        </w:trPr>
        <w:tc>
          <w:tcPr>
            <w:tcW w:w="367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vAlign w:val="center"/>
            <w:hideMark/>
          </w:tcPr>
          <w:p w14:paraId="0279881E" w14:textId="77777777" w:rsidR="00814F91" w:rsidRPr="00BC3037" w:rsidRDefault="00814F91" w:rsidP="00814F91">
            <w:pPr>
              <w:rPr>
                <w:b/>
                <w:bCs/>
                <w:color w:val="000000"/>
                <w:sz w:val="20"/>
                <w:szCs w:val="20"/>
              </w:rPr>
            </w:pPr>
            <w:r w:rsidRPr="00BC3037">
              <w:rPr>
                <w:b/>
                <w:bCs/>
                <w:color w:val="000000"/>
                <w:sz w:val="20"/>
                <w:szCs w:val="20"/>
              </w:rPr>
              <w:t>Publicação no Diário Oficial da União</w:t>
            </w: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thinReverseDiagStripe" w:color="365F91" w:themeColor="accent1" w:themeShade="BF" w:fill="auto"/>
            <w:vAlign w:val="center"/>
          </w:tcPr>
          <w:p w14:paraId="0B678AA5" w14:textId="7AB2CB2D" w:rsidR="00814F91" w:rsidRPr="00352145" w:rsidRDefault="00814F91" w:rsidP="00814F91">
            <w:pPr>
              <w:jc w:val="right"/>
              <w:rPr>
                <w:color w:val="000000"/>
                <w:sz w:val="18"/>
                <w:szCs w:val="18"/>
              </w:rPr>
            </w:pP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thinReverseDiagStripe" w:color="365F91" w:themeColor="accent1" w:themeShade="BF" w:fill="auto"/>
            <w:vAlign w:val="center"/>
          </w:tcPr>
          <w:p w14:paraId="0FE9C63C" w14:textId="77777777" w:rsidR="00814F91" w:rsidRPr="00973F54" w:rsidRDefault="00814F91" w:rsidP="00814F91">
            <w:pPr>
              <w:spacing w:before="100" w:beforeAutospacing="1" w:after="100" w:afterAutospacing="1"/>
              <w:jc w:val="right"/>
              <w:rPr>
                <w:color w:val="000000"/>
                <w:sz w:val="18"/>
                <w:szCs w:val="18"/>
              </w:rPr>
            </w:pP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vAlign w:val="center"/>
          </w:tcPr>
          <w:p w14:paraId="1E3E81B6" w14:textId="5A70B076" w:rsidR="00814F91" w:rsidRPr="00355DB1" w:rsidRDefault="00814F91" w:rsidP="00814F91">
            <w:pPr>
              <w:spacing w:before="100" w:beforeAutospacing="1" w:after="100" w:afterAutospacing="1"/>
              <w:jc w:val="center"/>
              <w:rPr>
                <w:color w:val="000000"/>
                <w:sz w:val="17"/>
                <w:szCs w:val="17"/>
              </w:rPr>
            </w:pPr>
            <w:hyperlink r:id="rId11" w:history="1">
              <w:r w:rsidRPr="00AF5C8B">
                <w:rPr>
                  <w:rStyle w:val="Hyperlink"/>
                  <w:sz w:val="17"/>
                  <w:szCs w:val="17"/>
                </w:rPr>
                <w:t>D.O.U. de 1º/08/2024, Seção 1, Página 179</w:t>
              </w:r>
            </w:hyperlink>
            <w:r>
              <w:rPr>
                <w:color w:val="000000"/>
                <w:sz w:val="17"/>
                <w:szCs w:val="17"/>
              </w:rPr>
              <w:t xml:space="preserve"> </w:t>
            </w:r>
          </w:p>
        </w:tc>
        <w:tc>
          <w:tcPr>
            <w:tcW w:w="221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vAlign w:val="center"/>
          </w:tcPr>
          <w:p w14:paraId="0BC69138" w14:textId="72B67826" w:rsidR="00814F91" w:rsidRPr="00355DB1" w:rsidRDefault="00814F91" w:rsidP="00814F91">
            <w:pPr>
              <w:spacing w:before="100" w:beforeAutospacing="1" w:after="100" w:afterAutospacing="1"/>
              <w:jc w:val="center"/>
              <w:rPr>
                <w:color w:val="000000"/>
                <w:sz w:val="17"/>
                <w:szCs w:val="17"/>
              </w:rPr>
            </w:pPr>
            <w:hyperlink r:id="rId12" w:history="1">
              <w:r w:rsidRPr="00D032C4">
                <w:rPr>
                  <w:rStyle w:val="Hyperlink"/>
                  <w:sz w:val="17"/>
                  <w:szCs w:val="17"/>
                </w:rPr>
                <w:t>D.O.U. de 30/09/2024, Seção 1, Página 274</w:t>
              </w:r>
            </w:hyperlink>
          </w:p>
        </w:tc>
        <w:tc>
          <w:tcPr>
            <w:tcW w:w="207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thinReverseDiagStripe" w:color="365F91" w:themeColor="accent1" w:themeShade="BF" w:fill="auto"/>
            <w:vAlign w:val="center"/>
          </w:tcPr>
          <w:p w14:paraId="5BBDD6BA" w14:textId="77777777" w:rsidR="00814F91" w:rsidRPr="00814F91" w:rsidRDefault="00814F91" w:rsidP="00814F91">
            <w:pPr>
              <w:jc w:val="right"/>
              <w:rPr>
                <w:color w:val="000000"/>
                <w:sz w:val="18"/>
                <w:szCs w:val="18"/>
              </w:rPr>
            </w:pPr>
          </w:p>
        </w:tc>
      </w:tr>
    </w:tbl>
    <w:p w14:paraId="22F7A80D" w14:textId="7B999A33" w:rsidR="001102C0" w:rsidRDefault="0028171C" w:rsidP="007241A4">
      <w:pPr>
        <w:spacing w:before="60"/>
        <w:rPr>
          <w:b/>
          <w:color w:val="000000"/>
          <w:sz w:val="16"/>
          <w:szCs w:val="16"/>
        </w:rPr>
      </w:pPr>
      <w:r w:rsidRPr="00BC3037">
        <w:rPr>
          <w:b/>
          <w:color w:val="000000"/>
          <w:sz w:val="16"/>
          <w:szCs w:val="16"/>
        </w:rPr>
        <w:t>F</w:t>
      </w:r>
      <w:r w:rsidR="00A4352B" w:rsidRPr="00BC3037">
        <w:rPr>
          <w:b/>
          <w:color w:val="000000"/>
          <w:sz w:val="16"/>
          <w:szCs w:val="16"/>
        </w:rPr>
        <w:t xml:space="preserve">onte: SIAFI, </w:t>
      </w:r>
      <w:r w:rsidR="00BC3037" w:rsidRPr="00BC3037">
        <w:rPr>
          <w:b/>
          <w:color w:val="000000"/>
          <w:sz w:val="16"/>
          <w:szCs w:val="16"/>
        </w:rPr>
        <w:t>Diário Oficial da União</w:t>
      </w:r>
      <w:r w:rsidR="00495EF5" w:rsidRPr="00BC3037">
        <w:rPr>
          <w:b/>
          <w:color w:val="000000"/>
          <w:sz w:val="16"/>
          <w:szCs w:val="16"/>
        </w:rPr>
        <w:t>.</w:t>
      </w:r>
    </w:p>
    <w:p w14:paraId="3AE7E332" w14:textId="77777777" w:rsidR="00355DB1" w:rsidRDefault="00355DB1" w:rsidP="007241A4">
      <w:pPr>
        <w:spacing w:before="60"/>
        <w:rPr>
          <w:b/>
          <w:color w:val="000000"/>
          <w:sz w:val="16"/>
          <w:szCs w:val="16"/>
        </w:rPr>
      </w:pPr>
    </w:p>
    <w:p w14:paraId="46E402A1" w14:textId="77777777" w:rsidR="00355DB1" w:rsidRDefault="00355DB1" w:rsidP="007241A4">
      <w:pPr>
        <w:spacing w:before="60"/>
        <w:rPr>
          <w:b/>
          <w:color w:val="000000"/>
          <w:sz w:val="16"/>
          <w:szCs w:val="16"/>
        </w:rPr>
      </w:pPr>
    </w:p>
    <w:p w14:paraId="712F4BAB" w14:textId="77777777" w:rsidR="00355DB1" w:rsidRDefault="00355DB1" w:rsidP="007241A4">
      <w:pPr>
        <w:spacing w:before="60"/>
        <w:rPr>
          <w:b/>
          <w:color w:val="000000"/>
          <w:sz w:val="16"/>
          <w:szCs w:val="16"/>
        </w:rPr>
      </w:pPr>
    </w:p>
    <w:p w14:paraId="6ED8A220" w14:textId="77777777" w:rsidR="00355DB1" w:rsidRDefault="00355DB1" w:rsidP="007241A4">
      <w:pPr>
        <w:spacing w:before="60"/>
        <w:rPr>
          <w:b/>
          <w:color w:val="000000"/>
          <w:sz w:val="16"/>
          <w:szCs w:val="16"/>
        </w:rPr>
      </w:pPr>
    </w:p>
    <w:p w14:paraId="67490C49" w14:textId="77777777" w:rsidR="00355DB1" w:rsidRDefault="00355DB1" w:rsidP="007241A4">
      <w:pPr>
        <w:spacing w:before="60"/>
        <w:rPr>
          <w:b/>
          <w:color w:val="000000"/>
          <w:sz w:val="16"/>
          <w:szCs w:val="16"/>
        </w:rPr>
      </w:pPr>
    </w:p>
    <w:p w14:paraId="772D6F5B" w14:textId="77777777" w:rsidR="00355DB1" w:rsidRDefault="00355DB1" w:rsidP="00814F91">
      <w:pPr>
        <w:jc w:val="right"/>
        <w:rPr>
          <w:b/>
          <w:color w:val="000000"/>
          <w:sz w:val="16"/>
          <w:szCs w:val="16"/>
        </w:rPr>
      </w:pPr>
    </w:p>
    <w:p w14:paraId="545C13B1" w14:textId="77777777" w:rsidR="00355DB1" w:rsidRDefault="00355DB1" w:rsidP="007241A4">
      <w:pPr>
        <w:spacing w:before="60"/>
        <w:rPr>
          <w:b/>
          <w:color w:val="000000"/>
          <w:sz w:val="16"/>
          <w:szCs w:val="16"/>
        </w:rPr>
      </w:pPr>
    </w:p>
    <w:p w14:paraId="3678C4A7" w14:textId="77777777" w:rsidR="00355DB1" w:rsidRDefault="00355DB1" w:rsidP="007241A4">
      <w:pPr>
        <w:spacing w:before="60"/>
        <w:rPr>
          <w:b/>
          <w:color w:val="000000"/>
          <w:sz w:val="16"/>
          <w:szCs w:val="16"/>
        </w:rPr>
      </w:pPr>
    </w:p>
    <w:p w14:paraId="2AF35E0A" w14:textId="77777777" w:rsidR="00355DB1" w:rsidRDefault="00355DB1" w:rsidP="007241A4">
      <w:pPr>
        <w:spacing w:before="60"/>
        <w:rPr>
          <w:b/>
          <w:color w:val="000000"/>
          <w:sz w:val="16"/>
          <w:szCs w:val="16"/>
        </w:rPr>
      </w:pPr>
    </w:p>
    <w:p w14:paraId="24F30EC1" w14:textId="77777777" w:rsidR="00355DB1" w:rsidRDefault="00355DB1" w:rsidP="00355DB1">
      <w:pPr>
        <w:jc w:val="center"/>
        <w:rPr>
          <w:b/>
          <w:color w:val="000000"/>
          <w:sz w:val="22"/>
          <w:szCs w:val="22"/>
        </w:rPr>
      </w:pPr>
    </w:p>
    <w:sectPr w:rsidR="00355DB1" w:rsidSect="00BC3037">
      <w:headerReference w:type="default" r:id="rId13"/>
      <w:footerReference w:type="default" r:id="rId14"/>
      <w:pgSz w:w="16840" w:h="11907" w:orient="landscape" w:code="9"/>
      <w:pgMar w:top="1418" w:right="907"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47170" w14:textId="77777777" w:rsidR="0064331D" w:rsidRDefault="0064331D" w:rsidP="003D135A">
      <w:r>
        <w:separator/>
      </w:r>
    </w:p>
  </w:endnote>
  <w:endnote w:type="continuationSeparator" w:id="0">
    <w:p w14:paraId="6E33A513" w14:textId="77777777" w:rsidR="0064331D" w:rsidRDefault="0064331D" w:rsidP="003D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54F8C" w14:textId="77777777" w:rsidR="00745339" w:rsidRDefault="00745339" w:rsidP="00745339">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F1702" w14:textId="77777777" w:rsidR="0064331D" w:rsidRDefault="0064331D" w:rsidP="003D135A">
      <w:r>
        <w:separator/>
      </w:r>
    </w:p>
  </w:footnote>
  <w:footnote w:type="continuationSeparator" w:id="0">
    <w:p w14:paraId="430B4E56" w14:textId="77777777" w:rsidR="0064331D" w:rsidRDefault="0064331D" w:rsidP="003D135A">
      <w:r>
        <w:continuationSeparator/>
      </w:r>
    </w:p>
  </w:footnote>
  <w:footnote w:id="1">
    <w:p w14:paraId="7B3F861D" w14:textId="75FFB0F2" w:rsidR="00814F91" w:rsidRPr="004B003C" w:rsidRDefault="00814F91" w:rsidP="00B21315">
      <w:pPr>
        <w:pStyle w:val="Textodenotaderodap"/>
        <w:jc w:val="both"/>
        <w:rPr>
          <w:sz w:val="18"/>
          <w:szCs w:val="18"/>
        </w:rPr>
      </w:pPr>
      <w:r w:rsidRPr="00BF0B11">
        <w:rPr>
          <w:vertAlign w:val="superscript"/>
        </w:rPr>
        <w:t>(</w:t>
      </w:r>
      <w:r w:rsidRPr="00BF0B11">
        <w:rPr>
          <w:rStyle w:val="Refdenotaderodap"/>
        </w:rPr>
        <w:footnoteRef/>
      </w:r>
      <w:r w:rsidRPr="00BF0B11">
        <w:rPr>
          <w:vertAlign w:val="superscript"/>
        </w:rPr>
        <w:t>)</w:t>
      </w:r>
      <w:r>
        <w:rPr>
          <w:vertAlign w:val="superscript"/>
        </w:rPr>
        <w:t xml:space="preserve"> </w:t>
      </w:r>
      <w:r w:rsidRPr="00231EC4">
        <w:t>Os valores para limitação ou restabelecimento são indicados nos relatórios bimestrais (ou extemporâneos) de avaliação de receitas e despesas primárias elaborados em cumprimento ao disposto na Lei Complementar nº 101, de 4 de maio de 2000 (Lei de Responsabilidade Fiscal) e na Lei nº 14.791, de 29 de dezembro de 2023 (Lei de Diretrizes Orçamentárias para 2024). Esses documentos são divulgados no site do Tesouro Nacional, cuja página pode ser acessada pelo link:</w:t>
      </w:r>
      <w:r>
        <w:t xml:space="preserve"> </w:t>
      </w:r>
      <w:hyperlink r:id="rId1" w:history="1">
        <w:r w:rsidRPr="00061E9F">
          <w:rPr>
            <w:rStyle w:val="Hyperlink"/>
          </w:rPr>
          <w:t>https://www.tesourotransparente.gov.br/publicacoes/relatorio-de-avaliacao-de-receitas-e-despesas-primarias-rardp/2024/13</w:t>
        </w:r>
      </w:hyperlink>
      <w:r w:rsidRPr="00BF0B1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6C087" w14:textId="77777777" w:rsidR="00745339" w:rsidRDefault="00745339" w:rsidP="003D135A">
    <w:pPr>
      <w:pStyle w:val="Cabealho"/>
      <w:jc w:val="center"/>
    </w:pPr>
    <w:r w:rsidRPr="00745339">
      <w:rPr>
        <w:noProof/>
      </w:rPr>
      <w:drawing>
        <wp:anchor distT="0" distB="0" distL="114300" distR="114300" simplePos="0" relativeHeight="251659264" behindDoc="0" locked="0" layoutInCell="1" allowOverlap="1" wp14:anchorId="2F482875" wp14:editId="7E44D3CA">
          <wp:simplePos x="0" y="0"/>
          <wp:positionH relativeFrom="column">
            <wp:posOffset>4485005</wp:posOffset>
          </wp:positionH>
          <wp:positionV relativeFrom="paragraph">
            <wp:posOffset>-213995</wp:posOffset>
          </wp:positionV>
          <wp:extent cx="595223" cy="634415"/>
          <wp:effectExtent l="0" t="0" r="0" b="0"/>
          <wp:wrapNone/>
          <wp:docPr id="2" name="Imagem 2" descr="D:\USERS\ajeiras\Desktop\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jeiras\Desktop\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223" cy="634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4A560" w14:textId="77777777" w:rsidR="00745339" w:rsidRDefault="00745339" w:rsidP="003D135A">
    <w:pPr>
      <w:pStyle w:val="Cabealho"/>
      <w:jc w:val="center"/>
    </w:pPr>
  </w:p>
  <w:p w14:paraId="317945C4" w14:textId="77777777" w:rsidR="001450B4" w:rsidRDefault="001450B4" w:rsidP="003D135A">
    <w:pPr>
      <w:pStyle w:val="Cabealho"/>
      <w:jc w:val="center"/>
    </w:pPr>
  </w:p>
  <w:p w14:paraId="14764DA4" w14:textId="77777777" w:rsidR="001450B4" w:rsidRPr="001450B4" w:rsidRDefault="001450B4" w:rsidP="001450B4">
    <w:pPr>
      <w:jc w:val="center"/>
      <w:rPr>
        <w:b/>
        <w:color w:val="000000"/>
        <w:sz w:val="16"/>
      </w:rPr>
    </w:pPr>
    <w:r w:rsidRPr="001450B4">
      <w:rPr>
        <w:b/>
        <w:color w:val="000000"/>
        <w:sz w:val="16"/>
      </w:rPr>
      <w:t>PODER LEGISLATIVO</w:t>
    </w:r>
  </w:p>
  <w:p w14:paraId="198D5377" w14:textId="77777777" w:rsidR="00087E21" w:rsidRPr="001450B4" w:rsidRDefault="001450B4" w:rsidP="001450B4">
    <w:pPr>
      <w:jc w:val="center"/>
      <w:rPr>
        <w:b/>
        <w:color w:val="000000"/>
        <w:sz w:val="16"/>
      </w:rPr>
    </w:pPr>
    <w:r w:rsidRPr="001450B4">
      <w:rPr>
        <w:b/>
        <w:color w:val="000000"/>
        <w:sz w:val="16"/>
      </w:rPr>
      <w:t>SENADO FEDERAL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163085"/>
    <w:multiLevelType w:val="hybridMultilevel"/>
    <w:tmpl w:val="F5B4A086"/>
    <w:lvl w:ilvl="0" w:tplc="0416000F">
      <w:start w:val="1"/>
      <w:numFmt w:val="decimal"/>
      <w:lvlText w:val="%1."/>
      <w:lvlJc w:val="left"/>
      <w:pPr>
        <w:ind w:left="502" w:hanging="360"/>
      </w:pPr>
      <w:rPr>
        <w:rFonts w:cs="Times New Roman"/>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num w:numId="1" w16cid:durableId="206517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06"/>
    <w:rsid w:val="00003617"/>
    <w:rsid w:val="0001002C"/>
    <w:rsid w:val="00011763"/>
    <w:rsid w:val="00013BDD"/>
    <w:rsid w:val="00034B17"/>
    <w:rsid w:val="00034E17"/>
    <w:rsid w:val="00036121"/>
    <w:rsid w:val="00036268"/>
    <w:rsid w:val="0004029C"/>
    <w:rsid w:val="0004172A"/>
    <w:rsid w:val="0004236D"/>
    <w:rsid w:val="00044C46"/>
    <w:rsid w:val="000452DB"/>
    <w:rsid w:val="00045EAB"/>
    <w:rsid w:val="00065456"/>
    <w:rsid w:val="00070D11"/>
    <w:rsid w:val="00071E9B"/>
    <w:rsid w:val="000725D7"/>
    <w:rsid w:val="00076203"/>
    <w:rsid w:val="000779F1"/>
    <w:rsid w:val="00082292"/>
    <w:rsid w:val="00083267"/>
    <w:rsid w:val="00083713"/>
    <w:rsid w:val="00085BFF"/>
    <w:rsid w:val="00085FEB"/>
    <w:rsid w:val="00087E21"/>
    <w:rsid w:val="00092E5E"/>
    <w:rsid w:val="000A4B3F"/>
    <w:rsid w:val="000A6E12"/>
    <w:rsid w:val="000B610E"/>
    <w:rsid w:val="000B6A47"/>
    <w:rsid w:val="000D1D1E"/>
    <w:rsid w:val="000D7F35"/>
    <w:rsid w:val="000E107A"/>
    <w:rsid w:val="000E5284"/>
    <w:rsid w:val="000E5D4E"/>
    <w:rsid w:val="000F5D7B"/>
    <w:rsid w:val="000F63B6"/>
    <w:rsid w:val="000F7432"/>
    <w:rsid w:val="000F7BEB"/>
    <w:rsid w:val="001000BB"/>
    <w:rsid w:val="00107569"/>
    <w:rsid w:val="001102C0"/>
    <w:rsid w:val="00117343"/>
    <w:rsid w:val="00117F28"/>
    <w:rsid w:val="00121A53"/>
    <w:rsid w:val="00121A59"/>
    <w:rsid w:val="0012628E"/>
    <w:rsid w:val="00144D18"/>
    <w:rsid w:val="001450B4"/>
    <w:rsid w:val="001472EB"/>
    <w:rsid w:val="00147670"/>
    <w:rsid w:val="00147BC7"/>
    <w:rsid w:val="00154DD4"/>
    <w:rsid w:val="0016137F"/>
    <w:rsid w:val="0016743E"/>
    <w:rsid w:val="00170097"/>
    <w:rsid w:val="001769D6"/>
    <w:rsid w:val="001827F3"/>
    <w:rsid w:val="00187F9D"/>
    <w:rsid w:val="00194F7A"/>
    <w:rsid w:val="001A0F93"/>
    <w:rsid w:val="001B1406"/>
    <w:rsid w:val="001B22DA"/>
    <w:rsid w:val="001B44E4"/>
    <w:rsid w:val="001B623B"/>
    <w:rsid w:val="001B6C87"/>
    <w:rsid w:val="001C14BF"/>
    <w:rsid w:val="001C7E5D"/>
    <w:rsid w:val="001D0F9D"/>
    <w:rsid w:val="001D3544"/>
    <w:rsid w:val="001E4D32"/>
    <w:rsid w:val="001F0521"/>
    <w:rsid w:val="001F5CDD"/>
    <w:rsid w:val="001F7D81"/>
    <w:rsid w:val="00201180"/>
    <w:rsid w:val="00204087"/>
    <w:rsid w:val="002061A4"/>
    <w:rsid w:val="00206EF5"/>
    <w:rsid w:val="00211527"/>
    <w:rsid w:val="00212A78"/>
    <w:rsid w:val="002170E1"/>
    <w:rsid w:val="00230321"/>
    <w:rsid w:val="00231EC4"/>
    <w:rsid w:val="00234ABD"/>
    <w:rsid w:val="00235408"/>
    <w:rsid w:val="00241CA8"/>
    <w:rsid w:val="00242646"/>
    <w:rsid w:val="00245234"/>
    <w:rsid w:val="00253882"/>
    <w:rsid w:val="00254AEF"/>
    <w:rsid w:val="00254D11"/>
    <w:rsid w:val="00254D36"/>
    <w:rsid w:val="002562B3"/>
    <w:rsid w:val="002576D7"/>
    <w:rsid w:val="00267CA1"/>
    <w:rsid w:val="00272033"/>
    <w:rsid w:val="002811E9"/>
    <w:rsid w:val="0028171C"/>
    <w:rsid w:val="00282750"/>
    <w:rsid w:val="002830DA"/>
    <w:rsid w:val="002840E9"/>
    <w:rsid w:val="0029180D"/>
    <w:rsid w:val="002A1AD9"/>
    <w:rsid w:val="002A314E"/>
    <w:rsid w:val="002A428D"/>
    <w:rsid w:val="002A47AC"/>
    <w:rsid w:val="002A795B"/>
    <w:rsid w:val="002B5FFF"/>
    <w:rsid w:val="002B7BF8"/>
    <w:rsid w:val="002C0C52"/>
    <w:rsid w:val="002C46CD"/>
    <w:rsid w:val="002C538C"/>
    <w:rsid w:val="002D145B"/>
    <w:rsid w:val="002D2173"/>
    <w:rsid w:val="002E7310"/>
    <w:rsid w:val="002E7BE9"/>
    <w:rsid w:val="00301EF9"/>
    <w:rsid w:val="00306A58"/>
    <w:rsid w:val="003074A0"/>
    <w:rsid w:val="0031053F"/>
    <w:rsid w:val="00313CEC"/>
    <w:rsid w:val="00315415"/>
    <w:rsid w:val="00320171"/>
    <w:rsid w:val="003215C2"/>
    <w:rsid w:val="0032470C"/>
    <w:rsid w:val="003348B4"/>
    <w:rsid w:val="00337891"/>
    <w:rsid w:val="0034266D"/>
    <w:rsid w:val="003442DF"/>
    <w:rsid w:val="0035122A"/>
    <w:rsid w:val="00352145"/>
    <w:rsid w:val="00355DB1"/>
    <w:rsid w:val="00366241"/>
    <w:rsid w:val="0037096D"/>
    <w:rsid w:val="003723AF"/>
    <w:rsid w:val="003735B4"/>
    <w:rsid w:val="00375381"/>
    <w:rsid w:val="003829F2"/>
    <w:rsid w:val="003937AF"/>
    <w:rsid w:val="00393C5A"/>
    <w:rsid w:val="0039405A"/>
    <w:rsid w:val="003A17DA"/>
    <w:rsid w:val="003A2165"/>
    <w:rsid w:val="003A454C"/>
    <w:rsid w:val="003A620B"/>
    <w:rsid w:val="003B0438"/>
    <w:rsid w:val="003B0987"/>
    <w:rsid w:val="003B3C5F"/>
    <w:rsid w:val="003B5066"/>
    <w:rsid w:val="003B582B"/>
    <w:rsid w:val="003C0B87"/>
    <w:rsid w:val="003D135A"/>
    <w:rsid w:val="003D18FA"/>
    <w:rsid w:val="003D64BD"/>
    <w:rsid w:val="003D7788"/>
    <w:rsid w:val="003E190D"/>
    <w:rsid w:val="003E696C"/>
    <w:rsid w:val="003E6F8A"/>
    <w:rsid w:val="003E727D"/>
    <w:rsid w:val="003E7968"/>
    <w:rsid w:val="003F271B"/>
    <w:rsid w:val="003F2A82"/>
    <w:rsid w:val="004010F5"/>
    <w:rsid w:val="00401B8F"/>
    <w:rsid w:val="00403341"/>
    <w:rsid w:val="00410963"/>
    <w:rsid w:val="00411830"/>
    <w:rsid w:val="00413DFE"/>
    <w:rsid w:val="00417C53"/>
    <w:rsid w:val="00426F94"/>
    <w:rsid w:val="004469D3"/>
    <w:rsid w:val="00453E2A"/>
    <w:rsid w:val="00462686"/>
    <w:rsid w:val="00464A12"/>
    <w:rsid w:val="00470E15"/>
    <w:rsid w:val="00471C39"/>
    <w:rsid w:val="00473083"/>
    <w:rsid w:val="004801C7"/>
    <w:rsid w:val="0048569D"/>
    <w:rsid w:val="004901F2"/>
    <w:rsid w:val="00493838"/>
    <w:rsid w:val="00495EF5"/>
    <w:rsid w:val="00497B81"/>
    <w:rsid w:val="004A393A"/>
    <w:rsid w:val="004B003C"/>
    <w:rsid w:val="004B19D9"/>
    <w:rsid w:val="004B201E"/>
    <w:rsid w:val="004B25CB"/>
    <w:rsid w:val="004B57E5"/>
    <w:rsid w:val="004C5AC7"/>
    <w:rsid w:val="004C77BB"/>
    <w:rsid w:val="004D0483"/>
    <w:rsid w:val="004D39E0"/>
    <w:rsid w:val="004F6B49"/>
    <w:rsid w:val="005037E8"/>
    <w:rsid w:val="00513645"/>
    <w:rsid w:val="005153B9"/>
    <w:rsid w:val="00515AB9"/>
    <w:rsid w:val="00522FD9"/>
    <w:rsid w:val="005417EE"/>
    <w:rsid w:val="00547787"/>
    <w:rsid w:val="00561228"/>
    <w:rsid w:val="00561D0F"/>
    <w:rsid w:val="00563659"/>
    <w:rsid w:val="00563F53"/>
    <w:rsid w:val="00565D61"/>
    <w:rsid w:val="00567C0D"/>
    <w:rsid w:val="005769DB"/>
    <w:rsid w:val="00576D7B"/>
    <w:rsid w:val="00577505"/>
    <w:rsid w:val="00584575"/>
    <w:rsid w:val="0058750F"/>
    <w:rsid w:val="00591AB7"/>
    <w:rsid w:val="00593B1F"/>
    <w:rsid w:val="005A35FE"/>
    <w:rsid w:val="005B29D5"/>
    <w:rsid w:val="005B3D13"/>
    <w:rsid w:val="005B7166"/>
    <w:rsid w:val="005C0379"/>
    <w:rsid w:val="005D48DF"/>
    <w:rsid w:val="005E1C67"/>
    <w:rsid w:val="005E58F8"/>
    <w:rsid w:val="005E780E"/>
    <w:rsid w:val="005F0EBB"/>
    <w:rsid w:val="005F2990"/>
    <w:rsid w:val="005F6180"/>
    <w:rsid w:val="00605FB6"/>
    <w:rsid w:val="00630F38"/>
    <w:rsid w:val="006341D8"/>
    <w:rsid w:val="006402F1"/>
    <w:rsid w:val="006418BC"/>
    <w:rsid w:val="0064331D"/>
    <w:rsid w:val="00644A9B"/>
    <w:rsid w:val="006457FA"/>
    <w:rsid w:val="006462F8"/>
    <w:rsid w:val="00650C81"/>
    <w:rsid w:val="0065452C"/>
    <w:rsid w:val="00661DC9"/>
    <w:rsid w:val="006634D4"/>
    <w:rsid w:val="006637C0"/>
    <w:rsid w:val="00666D72"/>
    <w:rsid w:val="006929C7"/>
    <w:rsid w:val="006944BB"/>
    <w:rsid w:val="006A5014"/>
    <w:rsid w:val="006B2B80"/>
    <w:rsid w:val="006B72F2"/>
    <w:rsid w:val="006C0C27"/>
    <w:rsid w:val="006C2F72"/>
    <w:rsid w:val="006C7148"/>
    <w:rsid w:val="006C7E04"/>
    <w:rsid w:val="006E3163"/>
    <w:rsid w:val="006E613E"/>
    <w:rsid w:val="006F4159"/>
    <w:rsid w:val="006F7BC5"/>
    <w:rsid w:val="007058A2"/>
    <w:rsid w:val="00707EC6"/>
    <w:rsid w:val="007241A4"/>
    <w:rsid w:val="0072517D"/>
    <w:rsid w:val="0072637C"/>
    <w:rsid w:val="00726B7F"/>
    <w:rsid w:val="00732CDF"/>
    <w:rsid w:val="007373A8"/>
    <w:rsid w:val="00745339"/>
    <w:rsid w:val="00745D0C"/>
    <w:rsid w:val="00753A13"/>
    <w:rsid w:val="007568DD"/>
    <w:rsid w:val="00756F0A"/>
    <w:rsid w:val="007617AA"/>
    <w:rsid w:val="0076502E"/>
    <w:rsid w:val="00765B1C"/>
    <w:rsid w:val="00767FE6"/>
    <w:rsid w:val="00770F5D"/>
    <w:rsid w:val="00787733"/>
    <w:rsid w:val="0079024C"/>
    <w:rsid w:val="00792580"/>
    <w:rsid w:val="00793EB2"/>
    <w:rsid w:val="007948CC"/>
    <w:rsid w:val="007949C5"/>
    <w:rsid w:val="00795DAA"/>
    <w:rsid w:val="007A2304"/>
    <w:rsid w:val="007A4097"/>
    <w:rsid w:val="007B04E7"/>
    <w:rsid w:val="007B3D59"/>
    <w:rsid w:val="007B69B2"/>
    <w:rsid w:val="007B7E37"/>
    <w:rsid w:val="007C414B"/>
    <w:rsid w:val="007C6F6A"/>
    <w:rsid w:val="007D3D87"/>
    <w:rsid w:val="007D6D2E"/>
    <w:rsid w:val="007E1D3C"/>
    <w:rsid w:val="007E3D16"/>
    <w:rsid w:val="007E408B"/>
    <w:rsid w:val="007E417F"/>
    <w:rsid w:val="007F2841"/>
    <w:rsid w:val="007F3B72"/>
    <w:rsid w:val="007F7650"/>
    <w:rsid w:val="00810B70"/>
    <w:rsid w:val="0081217F"/>
    <w:rsid w:val="00814F30"/>
    <w:rsid w:val="00814F91"/>
    <w:rsid w:val="0081709D"/>
    <w:rsid w:val="00824C04"/>
    <w:rsid w:val="00824F21"/>
    <w:rsid w:val="008260C2"/>
    <w:rsid w:val="00833E26"/>
    <w:rsid w:val="00835891"/>
    <w:rsid w:val="00836846"/>
    <w:rsid w:val="0084505F"/>
    <w:rsid w:val="00850022"/>
    <w:rsid w:val="00850C19"/>
    <w:rsid w:val="00861DFB"/>
    <w:rsid w:val="008620FC"/>
    <w:rsid w:val="00862E48"/>
    <w:rsid w:val="00872431"/>
    <w:rsid w:val="00873E56"/>
    <w:rsid w:val="00884A67"/>
    <w:rsid w:val="00885F52"/>
    <w:rsid w:val="00893820"/>
    <w:rsid w:val="00894CE1"/>
    <w:rsid w:val="00897253"/>
    <w:rsid w:val="008A3408"/>
    <w:rsid w:val="008A42AA"/>
    <w:rsid w:val="008B209F"/>
    <w:rsid w:val="008B5919"/>
    <w:rsid w:val="008B7518"/>
    <w:rsid w:val="008C3732"/>
    <w:rsid w:val="008C73C6"/>
    <w:rsid w:val="008C75B6"/>
    <w:rsid w:val="008C7925"/>
    <w:rsid w:val="008D29AB"/>
    <w:rsid w:val="008E0C1B"/>
    <w:rsid w:val="008F1697"/>
    <w:rsid w:val="008F4999"/>
    <w:rsid w:val="00911051"/>
    <w:rsid w:val="00914C47"/>
    <w:rsid w:val="00916EB5"/>
    <w:rsid w:val="00923B2B"/>
    <w:rsid w:val="00925A72"/>
    <w:rsid w:val="009301BC"/>
    <w:rsid w:val="0093128F"/>
    <w:rsid w:val="00942036"/>
    <w:rsid w:val="00943B7F"/>
    <w:rsid w:val="00944D02"/>
    <w:rsid w:val="00954824"/>
    <w:rsid w:val="00954ED9"/>
    <w:rsid w:val="00957DC3"/>
    <w:rsid w:val="009638BA"/>
    <w:rsid w:val="00973F54"/>
    <w:rsid w:val="00977198"/>
    <w:rsid w:val="00980BAE"/>
    <w:rsid w:val="00981A1C"/>
    <w:rsid w:val="00981B7E"/>
    <w:rsid w:val="0098421A"/>
    <w:rsid w:val="00984BEB"/>
    <w:rsid w:val="0098545B"/>
    <w:rsid w:val="00986F9B"/>
    <w:rsid w:val="00992DAF"/>
    <w:rsid w:val="0099363D"/>
    <w:rsid w:val="00996425"/>
    <w:rsid w:val="00996997"/>
    <w:rsid w:val="009A7F7E"/>
    <w:rsid w:val="009B03D6"/>
    <w:rsid w:val="009B092D"/>
    <w:rsid w:val="009C0CEF"/>
    <w:rsid w:val="009C7C1D"/>
    <w:rsid w:val="009D0E18"/>
    <w:rsid w:val="009D10A3"/>
    <w:rsid w:val="009D1F2E"/>
    <w:rsid w:val="009D3DD2"/>
    <w:rsid w:val="009E01E6"/>
    <w:rsid w:val="009E46CF"/>
    <w:rsid w:val="009E5CE0"/>
    <w:rsid w:val="009F569D"/>
    <w:rsid w:val="009F7D33"/>
    <w:rsid w:val="00A03A7A"/>
    <w:rsid w:val="00A060EF"/>
    <w:rsid w:val="00A3054B"/>
    <w:rsid w:val="00A35C90"/>
    <w:rsid w:val="00A41565"/>
    <w:rsid w:val="00A43173"/>
    <w:rsid w:val="00A4352B"/>
    <w:rsid w:val="00A45DE1"/>
    <w:rsid w:val="00A508B1"/>
    <w:rsid w:val="00A53AA0"/>
    <w:rsid w:val="00A546CB"/>
    <w:rsid w:val="00A56439"/>
    <w:rsid w:val="00A60AB2"/>
    <w:rsid w:val="00A65E45"/>
    <w:rsid w:val="00A7174E"/>
    <w:rsid w:val="00A7233B"/>
    <w:rsid w:val="00A812C1"/>
    <w:rsid w:val="00A87CF7"/>
    <w:rsid w:val="00A93E43"/>
    <w:rsid w:val="00A967AB"/>
    <w:rsid w:val="00AA07B3"/>
    <w:rsid w:val="00AA6DF5"/>
    <w:rsid w:val="00AB1965"/>
    <w:rsid w:val="00AB2E09"/>
    <w:rsid w:val="00AB420E"/>
    <w:rsid w:val="00AB5534"/>
    <w:rsid w:val="00AD64A2"/>
    <w:rsid w:val="00AE1072"/>
    <w:rsid w:val="00AE6362"/>
    <w:rsid w:val="00AE6A62"/>
    <w:rsid w:val="00AF5C8B"/>
    <w:rsid w:val="00B01F4B"/>
    <w:rsid w:val="00B022C4"/>
    <w:rsid w:val="00B02C1E"/>
    <w:rsid w:val="00B070D3"/>
    <w:rsid w:val="00B144A6"/>
    <w:rsid w:val="00B154D5"/>
    <w:rsid w:val="00B21315"/>
    <w:rsid w:val="00B2134C"/>
    <w:rsid w:val="00B31C10"/>
    <w:rsid w:val="00B322AE"/>
    <w:rsid w:val="00B51E66"/>
    <w:rsid w:val="00B52BDA"/>
    <w:rsid w:val="00B65138"/>
    <w:rsid w:val="00B6713F"/>
    <w:rsid w:val="00B7625C"/>
    <w:rsid w:val="00B82AF1"/>
    <w:rsid w:val="00B85124"/>
    <w:rsid w:val="00B8792C"/>
    <w:rsid w:val="00B91B29"/>
    <w:rsid w:val="00B94794"/>
    <w:rsid w:val="00B94CA0"/>
    <w:rsid w:val="00BA0443"/>
    <w:rsid w:val="00BA1FE9"/>
    <w:rsid w:val="00BA6FBE"/>
    <w:rsid w:val="00BB17CC"/>
    <w:rsid w:val="00BB1C5D"/>
    <w:rsid w:val="00BB60A7"/>
    <w:rsid w:val="00BB60FA"/>
    <w:rsid w:val="00BC023D"/>
    <w:rsid w:val="00BC3037"/>
    <w:rsid w:val="00BC6F27"/>
    <w:rsid w:val="00BC7489"/>
    <w:rsid w:val="00BC7836"/>
    <w:rsid w:val="00BD3D0C"/>
    <w:rsid w:val="00BE120A"/>
    <w:rsid w:val="00BE1C32"/>
    <w:rsid w:val="00BE568A"/>
    <w:rsid w:val="00BE750F"/>
    <w:rsid w:val="00BE7610"/>
    <w:rsid w:val="00BF0B11"/>
    <w:rsid w:val="00BF144A"/>
    <w:rsid w:val="00BF2C3D"/>
    <w:rsid w:val="00BF5717"/>
    <w:rsid w:val="00BF7E7F"/>
    <w:rsid w:val="00C05C0C"/>
    <w:rsid w:val="00C0618B"/>
    <w:rsid w:val="00C07C8B"/>
    <w:rsid w:val="00C12F7F"/>
    <w:rsid w:val="00C20CCD"/>
    <w:rsid w:val="00C264E0"/>
    <w:rsid w:val="00C415AE"/>
    <w:rsid w:val="00C41D16"/>
    <w:rsid w:val="00C41DF0"/>
    <w:rsid w:val="00C4790B"/>
    <w:rsid w:val="00C51A92"/>
    <w:rsid w:val="00C60708"/>
    <w:rsid w:val="00C61B7D"/>
    <w:rsid w:val="00C64474"/>
    <w:rsid w:val="00C7456E"/>
    <w:rsid w:val="00C74607"/>
    <w:rsid w:val="00C74C91"/>
    <w:rsid w:val="00C77C54"/>
    <w:rsid w:val="00C808E3"/>
    <w:rsid w:val="00C82C18"/>
    <w:rsid w:val="00C90D64"/>
    <w:rsid w:val="00CB34B7"/>
    <w:rsid w:val="00CB64A8"/>
    <w:rsid w:val="00CC31EF"/>
    <w:rsid w:val="00CC731B"/>
    <w:rsid w:val="00CD226D"/>
    <w:rsid w:val="00CE0D19"/>
    <w:rsid w:val="00CE0E6F"/>
    <w:rsid w:val="00CE0EB1"/>
    <w:rsid w:val="00CF2539"/>
    <w:rsid w:val="00CF6F39"/>
    <w:rsid w:val="00D0078C"/>
    <w:rsid w:val="00D032C4"/>
    <w:rsid w:val="00D1744B"/>
    <w:rsid w:val="00D20D5F"/>
    <w:rsid w:val="00D23694"/>
    <w:rsid w:val="00D32297"/>
    <w:rsid w:val="00D45A34"/>
    <w:rsid w:val="00D475A8"/>
    <w:rsid w:val="00D60AD1"/>
    <w:rsid w:val="00D659D2"/>
    <w:rsid w:val="00D65ECE"/>
    <w:rsid w:val="00D66A18"/>
    <w:rsid w:val="00D72D91"/>
    <w:rsid w:val="00D74667"/>
    <w:rsid w:val="00D74F4B"/>
    <w:rsid w:val="00D84835"/>
    <w:rsid w:val="00D913B7"/>
    <w:rsid w:val="00D92683"/>
    <w:rsid w:val="00D92F6F"/>
    <w:rsid w:val="00D93A69"/>
    <w:rsid w:val="00D97239"/>
    <w:rsid w:val="00DA343C"/>
    <w:rsid w:val="00DA7CFE"/>
    <w:rsid w:val="00DA7FE4"/>
    <w:rsid w:val="00DB2750"/>
    <w:rsid w:val="00DB29AE"/>
    <w:rsid w:val="00DB4883"/>
    <w:rsid w:val="00DB5A30"/>
    <w:rsid w:val="00DB68AD"/>
    <w:rsid w:val="00DC2EB8"/>
    <w:rsid w:val="00DD418C"/>
    <w:rsid w:val="00DE2179"/>
    <w:rsid w:val="00DE712B"/>
    <w:rsid w:val="00DF6A5F"/>
    <w:rsid w:val="00E15C26"/>
    <w:rsid w:val="00E225AC"/>
    <w:rsid w:val="00E27E17"/>
    <w:rsid w:val="00E338CE"/>
    <w:rsid w:val="00E437D7"/>
    <w:rsid w:val="00E47D9C"/>
    <w:rsid w:val="00E5030A"/>
    <w:rsid w:val="00E51977"/>
    <w:rsid w:val="00E529B2"/>
    <w:rsid w:val="00E62648"/>
    <w:rsid w:val="00E63B52"/>
    <w:rsid w:val="00E720A4"/>
    <w:rsid w:val="00E771AF"/>
    <w:rsid w:val="00E77834"/>
    <w:rsid w:val="00E80A41"/>
    <w:rsid w:val="00E80EEA"/>
    <w:rsid w:val="00E8103E"/>
    <w:rsid w:val="00E861D6"/>
    <w:rsid w:val="00E87A54"/>
    <w:rsid w:val="00E9693A"/>
    <w:rsid w:val="00EA016A"/>
    <w:rsid w:val="00EA43C7"/>
    <w:rsid w:val="00EA5A55"/>
    <w:rsid w:val="00EB0E1C"/>
    <w:rsid w:val="00EB115C"/>
    <w:rsid w:val="00EB3E0D"/>
    <w:rsid w:val="00EB5BE5"/>
    <w:rsid w:val="00EB6B31"/>
    <w:rsid w:val="00EC7597"/>
    <w:rsid w:val="00ED0162"/>
    <w:rsid w:val="00ED42FC"/>
    <w:rsid w:val="00EE0EFC"/>
    <w:rsid w:val="00EE148B"/>
    <w:rsid w:val="00EE2EF6"/>
    <w:rsid w:val="00EE351B"/>
    <w:rsid w:val="00EE4DF3"/>
    <w:rsid w:val="00EF2CAA"/>
    <w:rsid w:val="00F0635A"/>
    <w:rsid w:val="00F11DFD"/>
    <w:rsid w:val="00F13888"/>
    <w:rsid w:val="00F14A43"/>
    <w:rsid w:val="00F152C5"/>
    <w:rsid w:val="00F2103A"/>
    <w:rsid w:val="00F21C5D"/>
    <w:rsid w:val="00F32B65"/>
    <w:rsid w:val="00F4259B"/>
    <w:rsid w:val="00F57F47"/>
    <w:rsid w:val="00F611B1"/>
    <w:rsid w:val="00F6357A"/>
    <w:rsid w:val="00F665D8"/>
    <w:rsid w:val="00F71F72"/>
    <w:rsid w:val="00F91C6B"/>
    <w:rsid w:val="00F961DF"/>
    <w:rsid w:val="00F975CC"/>
    <w:rsid w:val="00FA0AC4"/>
    <w:rsid w:val="00FA70AA"/>
    <w:rsid w:val="00FB33AF"/>
    <w:rsid w:val="00FC1EA4"/>
    <w:rsid w:val="00FC7975"/>
    <w:rsid w:val="00FD135D"/>
    <w:rsid w:val="00FD2258"/>
    <w:rsid w:val="00FD7B63"/>
    <w:rsid w:val="00FF42A5"/>
    <w:rsid w:val="00FF5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B41D30"/>
  <w15:docId w15:val="{890BB981-41A9-4B71-B193-132F7FCC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D8"/>
    <w:rPr>
      <w:sz w:val="24"/>
      <w:szCs w:val="24"/>
    </w:rPr>
  </w:style>
  <w:style w:type="paragraph" w:styleId="Ttulo5">
    <w:name w:val="heading 5"/>
    <w:basedOn w:val="Normal"/>
    <w:next w:val="Normal"/>
    <w:link w:val="Ttulo5Char"/>
    <w:qFormat/>
    <w:rsid w:val="002D2173"/>
    <w:pPr>
      <w:spacing w:before="240" w:after="60"/>
      <w:outlineLvl w:val="4"/>
    </w:pPr>
    <w:rPr>
      <w:b/>
      <w:bCs/>
      <w:i/>
      <w:iCs/>
      <w:sz w:val="26"/>
      <w:szCs w:val="2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dentacao1">
    <w:name w:val="identacao1"/>
    <w:basedOn w:val="Normal"/>
    <w:uiPriority w:val="99"/>
    <w:rsid w:val="001B1406"/>
    <w:pPr>
      <w:spacing w:before="100" w:beforeAutospacing="1" w:after="100" w:afterAutospacing="1"/>
      <w:ind w:firstLine="750"/>
    </w:pPr>
  </w:style>
  <w:style w:type="paragraph" w:styleId="NormalWeb">
    <w:name w:val="Normal (Web)"/>
    <w:basedOn w:val="Normal"/>
    <w:uiPriority w:val="99"/>
    <w:rsid w:val="001B1406"/>
    <w:pPr>
      <w:spacing w:before="100" w:beforeAutospacing="1" w:after="100" w:afterAutospacing="1"/>
    </w:pPr>
  </w:style>
  <w:style w:type="character" w:styleId="Forte">
    <w:name w:val="Strong"/>
    <w:basedOn w:val="Fontepargpadro"/>
    <w:uiPriority w:val="99"/>
    <w:qFormat/>
    <w:rsid w:val="001B1406"/>
    <w:rPr>
      <w:rFonts w:cs="Times New Roman"/>
      <w:b/>
      <w:bCs/>
    </w:rPr>
  </w:style>
  <w:style w:type="character" w:styleId="nfase">
    <w:name w:val="Emphasis"/>
    <w:basedOn w:val="Fontepargpadro"/>
    <w:uiPriority w:val="99"/>
    <w:qFormat/>
    <w:rsid w:val="003A454C"/>
    <w:rPr>
      <w:rFonts w:cs="Times New Roman"/>
      <w:i/>
      <w:iCs/>
    </w:rPr>
  </w:style>
  <w:style w:type="character" w:customStyle="1" w:styleId="negrito1">
    <w:name w:val="negrito1"/>
    <w:basedOn w:val="Fontepargpadro"/>
    <w:uiPriority w:val="99"/>
    <w:rsid w:val="005F2990"/>
    <w:rPr>
      <w:rFonts w:cs="Times New Roman"/>
      <w:b/>
      <w:bCs/>
    </w:rPr>
  </w:style>
  <w:style w:type="table" w:styleId="Tabelacomgrade">
    <w:name w:val="Table Grid"/>
    <w:basedOn w:val="Tabelanormal"/>
    <w:uiPriority w:val="59"/>
    <w:rsid w:val="003E6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D135A"/>
    <w:pPr>
      <w:tabs>
        <w:tab w:val="center" w:pos="4252"/>
        <w:tab w:val="right" w:pos="8504"/>
      </w:tabs>
    </w:pPr>
  </w:style>
  <w:style w:type="character" w:customStyle="1" w:styleId="CabealhoChar">
    <w:name w:val="Cabeçalho Char"/>
    <w:basedOn w:val="Fontepargpadro"/>
    <w:link w:val="Cabealho"/>
    <w:uiPriority w:val="99"/>
    <w:locked/>
    <w:rsid w:val="003D135A"/>
    <w:rPr>
      <w:rFonts w:cs="Times New Roman"/>
      <w:sz w:val="24"/>
      <w:szCs w:val="24"/>
    </w:rPr>
  </w:style>
  <w:style w:type="paragraph" w:styleId="Rodap">
    <w:name w:val="footer"/>
    <w:basedOn w:val="Normal"/>
    <w:link w:val="RodapChar"/>
    <w:uiPriority w:val="99"/>
    <w:unhideWhenUsed/>
    <w:rsid w:val="003D135A"/>
    <w:pPr>
      <w:tabs>
        <w:tab w:val="center" w:pos="4252"/>
        <w:tab w:val="right" w:pos="8504"/>
      </w:tabs>
    </w:pPr>
  </w:style>
  <w:style w:type="character" w:customStyle="1" w:styleId="RodapChar">
    <w:name w:val="Rodapé Char"/>
    <w:basedOn w:val="Fontepargpadro"/>
    <w:link w:val="Rodap"/>
    <w:uiPriority w:val="99"/>
    <w:locked/>
    <w:rsid w:val="003D135A"/>
    <w:rPr>
      <w:rFonts w:cs="Times New Roman"/>
      <w:sz w:val="24"/>
      <w:szCs w:val="24"/>
    </w:rPr>
  </w:style>
  <w:style w:type="paragraph" w:styleId="Textodebalo">
    <w:name w:val="Balloon Text"/>
    <w:basedOn w:val="Normal"/>
    <w:link w:val="TextodebaloChar"/>
    <w:uiPriority w:val="99"/>
    <w:semiHidden/>
    <w:unhideWhenUsed/>
    <w:rsid w:val="003D135A"/>
    <w:rPr>
      <w:rFonts w:ascii="Tahoma" w:hAnsi="Tahoma" w:cs="Tahoma"/>
      <w:sz w:val="16"/>
      <w:szCs w:val="16"/>
    </w:rPr>
  </w:style>
  <w:style w:type="character" w:customStyle="1" w:styleId="TextodebaloChar">
    <w:name w:val="Texto de balão Char"/>
    <w:basedOn w:val="Fontepargpadro"/>
    <w:link w:val="Textodebalo"/>
    <w:uiPriority w:val="99"/>
    <w:semiHidden/>
    <w:locked/>
    <w:rsid w:val="003D135A"/>
    <w:rPr>
      <w:rFonts w:ascii="Tahoma" w:hAnsi="Tahoma" w:cs="Tahoma"/>
      <w:sz w:val="16"/>
      <w:szCs w:val="16"/>
    </w:rPr>
  </w:style>
  <w:style w:type="paragraph" w:styleId="PargrafodaLista">
    <w:name w:val="List Paragraph"/>
    <w:basedOn w:val="Normal"/>
    <w:uiPriority w:val="34"/>
    <w:qFormat/>
    <w:rsid w:val="00045EAB"/>
    <w:pPr>
      <w:ind w:left="720"/>
      <w:contextualSpacing/>
    </w:pPr>
  </w:style>
  <w:style w:type="character" w:customStyle="1" w:styleId="Ttulo5Char">
    <w:name w:val="Título 5 Char"/>
    <w:basedOn w:val="Fontepargpadro"/>
    <w:link w:val="Ttulo5"/>
    <w:rsid w:val="002D2173"/>
    <w:rPr>
      <w:b/>
      <w:bCs/>
      <w:i/>
      <w:iCs/>
      <w:sz w:val="26"/>
      <w:szCs w:val="26"/>
      <w:lang w:val="pt-PT"/>
    </w:rPr>
  </w:style>
  <w:style w:type="paragraph" w:customStyle="1" w:styleId="TableContents">
    <w:name w:val="Table Contents"/>
    <w:basedOn w:val="Normal"/>
    <w:uiPriority w:val="99"/>
    <w:rsid w:val="00D60AD1"/>
    <w:pPr>
      <w:widowControl w:val="0"/>
      <w:autoSpaceDN w:val="0"/>
      <w:adjustRightInd w:val="0"/>
    </w:pPr>
    <w:rPr>
      <w:rFonts w:eastAsia="Arial Unicode MS" w:cs="Tahoma"/>
    </w:rPr>
  </w:style>
  <w:style w:type="paragraph" w:styleId="Textodenotaderodap">
    <w:name w:val="footnote text"/>
    <w:basedOn w:val="Normal"/>
    <w:link w:val="TextodenotaderodapChar"/>
    <w:uiPriority w:val="99"/>
    <w:unhideWhenUsed/>
    <w:rsid w:val="00337891"/>
    <w:rPr>
      <w:sz w:val="20"/>
      <w:szCs w:val="20"/>
    </w:rPr>
  </w:style>
  <w:style w:type="character" w:customStyle="1" w:styleId="TextodenotaderodapChar">
    <w:name w:val="Texto de nota de rodapé Char"/>
    <w:basedOn w:val="Fontepargpadro"/>
    <w:link w:val="Textodenotaderodap"/>
    <w:uiPriority w:val="99"/>
    <w:rsid w:val="00337891"/>
  </w:style>
  <w:style w:type="character" w:styleId="Refdenotaderodap">
    <w:name w:val="footnote reference"/>
    <w:basedOn w:val="Fontepargpadro"/>
    <w:uiPriority w:val="99"/>
    <w:semiHidden/>
    <w:unhideWhenUsed/>
    <w:rsid w:val="00337891"/>
    <w:rPr>
      <w:vertAlign w:val="superscript"/>
    </w:rPr>
  </w:style>
  <w:style w:type="character" w:styleId="Hyperlink">
    <w:name w:val="Hyperlink"/>
    <w:basedOn w:val="Fontepargpadro"/>
    <w:uiPriority w:val="99"/>
    <w:unhideWhenUsed/>
    <w:rsid w:val="00AE1072"/>
    <w:rPr>
      <w:color w:val="0000FF" w:themeColor="hyperlink"/>
      <w:u w:val="single"/>
    </w:rPr>
  </w:style>
  <w:style w:type="character" w:customStyle="1" w:styleId="MenoPendente1">
    <w:name w:val="Menção Pendente1"/>
    <w:basedOn w:val="Fontepargpadro"/>
    <w:uiPriority w:val="99"/>
    <w:semiHidden/>
    <w:unhideWhenUsed/>
    <w:rsid w:val="00AE1072"/>
    <w:rPr>
      <w:color w:val="605E5C"/>
      <w:shd w:val="clear" w:color="auto" w:fill="E1DFDD"/>
    </w:rPr>
  </w:style>
  <w:style w:type="character" w:styleId="HiperlinkVisitado">
    <w:name w:val="FollowedHyperlink"/>
    <w:basedOn w:val="Fontepargpadro"/>
    <w:uiPriority w:val="99"/>
    <w:semiHidden/>
    <w:unhideWhenUsed/>
    <w:rsid w:val="00355DB1"/>
    <w:rPr>
      <w:color w:val="800080" w:themeColor="followedHyperlink"/>
      <w:u w:val="single"/>
    </w:rPr>
  </w:style>
  <w:style w:type="character" w:styleId="MenoPendente">
    <w:name w:val="Unresolved Mention"/>
    <w:basedOn w:val="Fontepargpadro"/>
    <w:uiPriority w:val="99"/>
    <w:semiHidden/>
    <w:unhideWhenUsed/>
    <w:rsid w:val="00AF5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2960">
      <w:bodyDiv w:val="1"/>
      <w:marLeft w:val="0"/>
      <w:marRight w:val="0"/>
      <w:marTop w:val="0"/>
      <w:marBottom w:val="0"/>
      <w:divBdr>
        <w:top w:val="none" w:sz="0" w:space="0" w:color="auto"/>
        <w:left w:val="none" w:sz="0" w:space="0" w:color="auto"/>
        <w:bottom w:val="none" w:sz="0" w:space="0" w:color="auto"/>
        <w:right w:val="none" w:sz="0" w:space="0" w:color="auto"/>
      </w:divBdr>
    </w:div>
    <w:div w:id="231503677">
      <w:bodyDiv w:val="1"/>
      <w:marLeft w:val="0"/>
      <w:marRight w:val="0"/>
      <w:marTop w:val="0"/>
      <w:marBottom w:val="0"/>
      <w:divBdr>
        <w:top w:val="none" w:sz="0" w:space="0" w:color="auto"/>
        <w:left w:val="none" w:sz="0" w:space="0" w:color="auto"/>
        <w:bottom w:val="none" w:sz="0" w:space="0" w:color="auto"/>
        <w:right w:val="none" w:sz="0" w:space="0" w:color="auto"/>
      </w:divBdr>
    </w:div>
    <w:div w:id="674378389">
      <w:bodyDiv w:val="1"/>
      <w:marLeft w:val="0"/>
      <w:marRight w:val="0"/>
      <w:marTop w:val="0"/>
      <w:marBottom w:val="0"/>
      <w:divBdr>
        <w:top w:val="none" w:sz="0" w:space="0" w:color="auto"/>
        <w:left w:val="none" w:sz="0" w:space="0" w:color="auto"/>
        <w:bottom w:val="none" w:sz="0" w:space="0" w:color="auto"/>
        <w:right w:val="none" w:sz="0" w:space="0" w:color="auto"/>
      </w:divBdr>
    </w:div>
    <w:div w:id="704910730">
      <w:bodyDiv w:val="1"/>
      <w:marLeft w:val="0"/>
      <w:marRight w:val="0"/>
      <w:marTop w:val="0"/>
      <w:marBottom w:val="0"/>
      <w:divBdr>
        <w:top w:val="none" w:sz="0" w:space="0" w:color="auto"/>
        <w:left w:val="none" w:sz="0" w:space="0" w:color="auto"/>
        <w:bottom w:val="none" w:sz="0" w:space="0" w:color="auto"/>
        <w:right w:val="none" w:sz="0" w:space="0" w:color="auto"/>
      </w:divBdr>
    </w:div>
    <w:div w:id="741412272">
      <w:bodyDiv w:val="1"/>
      <w:marLeft w:val="0"/>
      <w:marRight w:val="0"/>
      <w:marTop w:val="0"/>
      <w:marBottom w:val="0"/>
      <w:divBdr>
        <w:top w:val="none" w:sz="0" w:space="0" w:color="auto"/>
        <w:left w:val="none" w:sz="0" w:space="0" w:color="auto"/>
        <w:bottom w:val="none" w:sz="0" w:space="0" w:color="auto"/>
        <w:right w:val="none" w:sz="0" w:space="0" w:color="auto"/>
      </w:divBdr>
    </w:div>
    <w:div w:id="1214462029">
      <w:bodyDiv w:val="1"/>
      <w:marLeft w:val="0"/>
      <w:marRight w:val="0"/>
      <w:marTop w:val="0"/>
      <w:marBottom w:val="0"/>
      <w:divBdr>
        <w:top w:val="none" w:sz="0" w:space="0" w:color="auto"/>
        <w:left w:val="none" w:sz="0" w:space="0" w:color="auto"/>
        <w:bottom w:val="none" w:sz="0" w:space="0" w:color="auto"/>
        <w:right w:val="none" w:sz="0" w:space="0" w:color="auto"/>
      </w:divBdr>
    </w:div>
    <w:div w:id="1242636189">
      <w:marLeft w:val="0"/>
      <w:marRight w:val="0"/>
      <w:marTop w:val="0"/>
      <w:marBottom w:val="0"/>
      <w:divBdr>
        <w:top w:val="none" w:sz="0" w:space="0" w:color="auto"/>
        <w:left w:val="none" w:sz="0" w:space="0" w:color="auto"/>
        <w:bottom w:val="none" w:sz="0" w:space="0" w:color="auto"/>
        <w:right w:val="none" w:sz="0" w:space="0" w:color="auto"/>
      </w:divBdr>
      <w:divsChild>
        <w:div w:id="1242636185">
          <w:marLeft w:val="0"/>
          <w:marRight w:val="0"/>
          <w:marTop w:val="0"/>
          <w:marBottom w:val="0"/>
          <w:divBdr>
            <w:top w:val="none" w:sz="0" w:space="0" w:color="auto"/>
            <w:left w:val="none" w:sz="0" w:space="0" w:color="auto"/>
            <w:bottom w:val="none" w:sz="0" w:space="0" w:color="auto"/>
            <w:right w:val="none" w:sz="0" w:space="0" w:color="auto"/>
          </w:divBdr>
          <w:divsChild>
            <w:div w:id="1242636190">
              <w:marLeft w:val="0"/>
              <w:marRight w:val="0"/>
              <w:marTop w:val="150"/>
              <w:marBottom w:val="0"/>
              <w:divBdr>
                <w:top w:val="dashed" w:sz="6" w:space="12" w:color="999999"/>
                <w:left w:val="dashed" w:sz="6" w:space="12" w:color="999999"/>
                <w:bottom w:val="dashed" w:sz="6" w:space="12" w:color="999999"/>
                <w:right w:val="dashed" w:sz="6" w:space="12" w:color="999999"/>
              </w:divBdr>
              <w:divsChild>
                <w:div w:id="1242636184">
                  <w:marLeft w:val="0"/>
                  <w:marRight w:val="0"/>
                  <w:marTop w:val="0"/>
                  <w:marBottom w:val="0"/>
                  <w:divBdr>
                    <w:top w:val="none" w:sz="0" w:space="0" w:color="auto"/>
                    <w:left w:val="none" w:sz="0" w:space="0" w:color="auto"/>
                    <w:bottom w:val="none" w:sz="0" w:space="0" w:color="auto"/>
                    <w:right w:val="none" w:sz="0" w:space="0" w:color="auto"/>
                  </w:divBdr>
                  <w:divsChild>
                    <w:div w:id="12426361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42636196">
      <w:marLeft w:val="0"/>
      <w:marRight w:val="0"/>
      <w:marTop w:val="0"/>
      <w:marBottom w:val="0"/>
      <w:divBdr>
        <w:top w:val="none" w:sz="0" w:space="0" w:color="auto"/>
        <w:left w:val="none" w:sz="0" w:space="0" w:color="auto"/>
        <w:bottom w:val="none" w:sz="0" w:space="0" w:color="auto"/>
        <w:right w:val="none" w:sz="0" w:space="0" w:color="auto"/>
      </w:divBdr>
      <w:divsChild>
        <w:div w:id="1242636191">
          <w:marLeft w:val="0"/>
          <w:marRight w:val="0"/>
          <w:marTop w:val="0"/>
          <w:marBottom w:val="0"/>
          <w:divBdr>
            <w:top w:val="none" w:sz="0" w:space="0" w:color="auto"/>
            <w:left w:val="none" w:sz="0" w:space="0" w:color="auto"/>
            <w:bottom w:val="none" w:sz="0" w:space="0" w:color="auto"/>
            <w:right w:val="none" w:sz="0" w:space="0" w:color="auto"/>
          </w:divBdr>
          <w:divsChild>
            <w:div w:id="1242636182">
              <w:marLeft w:val="0"/>
              <w:marRight w:val="0"/>
              <w:marTop w:val="150"/>
              <w:marBottom w:val="0"/>
              <w:divBdr>
                <w:top w:val="dashed" w:sz="6" w:space="12" w:color="999999"/>
                <w:left w:val="dashed" w:sz="6" w:space="12" w:color="999999"/>
                <w:bottom w:val="dashed" w:sz="6" w:space="12" w:color="999999"/>
                <w:right w:val="dashed" w:sz="6" w:space="12" w:color="999999"/>
              </w:divBdr>
              <w:divsChild>
                <w:div w:id="1242636197">
                  <w:marLeft w:val="0"/>
                  <w:marRight w:val="0"/>
                  <w:marTop w:val="0"/>
                  <w:marBottom w:val="0"/>
                  <w:divBdr>
                    <w:top w:val="none" w:sz="0" w:space="0" w:color="auto"/>
                    <w:left w:val="none" w:sz="0" w:space="0" w:color="auto"/>
                    <w:bottom w:val="none" w:sz="0" w:space="0" w:color="auto"/>
                    <w:right w:val="none" w:sz="0" w:space="0" w:color="auto"/>
                  </w:divBdr>
                  <w:divsChild>
                    <w:div w:id="12426362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42636199">
      <w:marLeft w:val="0"/>
      <w:marRight w:val="0"/>
      <w:marTop w:val="0"/>
      <w:marBottom w:val="0"/>
      <w:divBdr>
        <w:top w:val="none" w:sz="0" w:space="0" w:color="auto"/>
        <w:left w:val="none" w:sz="0" w:space="0" w:color="auto"/>
        <w:bottom w:val="none" w:sz="0" w:space="0" w:color="auto"/>
        <w:right w:val="none" w:sz="0" w:space="0" w:color="auto"/>
      </w:divBdr>
      <w:divsChild>
        <w:div w:id="1242636193">
          <w:marLeft w:val="0"/>
          <w:marRight w:val="0"/>
          <w:marTop w:val="0"/>
          <w:marBottom w:val="0"/>
          <w:divBdr>
            <w:top w:val="none" w:sz="0" w:space="0" w:color="auto"/>
            <w:left w:val="none" w:sz="0" w:space="0" w:color="auto"/>
            <w:bottom w:val="none" w:sz="0" w:space="0" w:color="auto"/>
            <w:right w:val="none" w:sz="0" w:space="0" w:color="auto"/>
          </w:divBdr>
          <w:divsChild>
            <w:div w:id="1242636192">
              <w:marLeft w:val="0"/>
              <w:marRight w:val="0"/>
              <w:marTop w:val="150"/>
              <w:marBottom w:val="0"/>
              <w:divBdr>
                <w:top w:val="dashed" w:sz="6" w:space="12" w:color="999999"/>
                <w:left w:val="dashed" w:sz="6" w:space="12" w:color="999999"/>
                <w:bottom w:val="dashed" w:sz="6" w:space="12" w:color="999999"/>
                <w:right w:val="dashed" w:sz="6" w:space="12" w:color="999999"/>
              </w:divBdr>
              <w:divsChild>
                <w:div w:id="1242636187">
                  <w:marLeft w:val="0"/>
                  <w:marRight w:val="0"/>
                  <w:marTop w:val="0"/>
                  <w:marBottom w:val="0"/>
                  <w:divBdr>
                    <w:top w:val="none" w:sz="0" w:space="0" w:color="auto"/>
                    <w:left w:val="none" w:sz="0" w:space="0" w:color="auto"/>
                    <w:bottom w:val="none" w:sz="0" w:space="0" w:color="auto"/>
                    <w:right w:val="none" w:sz="0" w:space="0" w:color="auto"/>
                  </w:divBdr>
                  <w:divsChild>
                    <w:div w:id="12426361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42636200">
      <w:marLeft w:val="0"/>
      <w:marRight w:val="0"/>
      <w:marTop w:val="0"/>
      <w:marBottom w:val="0"/>
      <w:divBdr>
        <w:top w:val="none" w:sz="0" w:space="0" w:color="auto"/>
        <w:left w:val="none" w:sz="0" w:space="0" w:color="auto"/>
        <w:bottom w:val="none" w:sz="0" w:space="0" w:color="auto"/>
        <w:right w:val="none" w:sz="0" w:space="0" w:color="auto"/>
      </w:divBdr>
      <w:divsChild>
        <w:div w:id="1242636194">
          <w:marLeft w:val="0"/>
          <w:marRight w:val="0"/>
          <w:marTop w:val="0"/>
          <w:marBottom w:val="0"/>
          <w:divBdr>
            <w:top w:val="none" w:sz="0" w:space="0" w:color="auto"/>
            <w:left w:val="none" w:sz="0" w:space="0" w:color="auto"/>
            <w:bottom w:val="none" w:sz="0" w:space="0" w:color="auto"/>
            <w:right w:val="none" w:sz="0" w:space="0" w:color="auto"/>
          </w:divBdr>
          <w:divsChild>
            <w:div w:id="1242636198">
              <w:marLeft w:val="0"/>
              <w:marRight w:val="0"/>
              <w:marTop w:val="150"/>
              <w:marBottom w:val="0"/>
              <w:divBdr>
                <w:top w:val="dashed" w:sz="6" w:space="12" w:color="999999"/>
                <w:left w:val="dashed" w:sz="6" w:space="12" w:color="999999"/>
                <w:bottom w:val="dashed" w:sz="6" w:space="12" w:color="999999"/>
                <w:right w:val="dashed" w:sz="6" w:space="12" w:color="999999"/>
              </w:divBdr>
              <w:divsChild>
                <w:div w:id="1242636186">
                  <w:marLeft w:val="0"/>
                  <w:marRight w:val="0"/>
                  <w:marTop w:val="0"/>
                  <w:marBottom w:val="0"/>
                  <w:divBdr>
                    <w:top w:val="none" w:sz="0" w:space="0" w:color="auto"/>
                    <w:left w:val="none" w:sz="0" w:space="0" w:color="auto"/>
                    <w:bottom w:val="none" w:sz="0" w:space="0" w:color="auto"/>
                    <w:right w:val="none" w:sz="0" w:space="0" w:color="auto"/>
                  </w:divBdr>
                  <w:divsChild>
                    <w:div w:id="12426361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60008251">
      <w:bodyDiv w:val="1"/>
      <w:marLeft w:val="0"/>
      <w:marRight w:val="0"/>
      <w:marTop w:val="0"/>
      <w:marBottom w:val="0"/>
      <w:divBdr>
        <w:top w:val="none" w:sz="0" w:space="0" w:color="auto"/>
        <w:left w:val="none" w:sz="0" w:space="0" w:color="auto"/>
        <w:bottom w:val="none" w:sz="0" w:space="0" w:color="auto"/>
        <w:right w:val="none" w:sz="0" w:space="0" w:color="auto"/>
      </w:divBdr>
    </w:div>
    <w:div w:id="1827479410">
      <w:bodyDiv w:val="1"/>
      <w:marLeft w:val="0"/>
      <w:marRight w:val="0"/>
      <w:marTop w:val="0"/>
      <w:marBottom w:val="0"/>
      <w:divBdr>
        <w:top w:val="none" w:sz="0" w:space="0" w:color="auto"/>
        <w:left w:val="none" w:sz="0" w:space="0" w:color="auto"/>
        <w:bottom w:val="none" w:sz="0" w:space="0" w:color="auto"/>
        <w:right w:val="none" w:sz="0" w:space="0" w:color="auto"/>
      </w:divBdr>
      <w:divsChild>
        <w:div w:id="52776244">
          <w:marLeft w:val="0"/>
          <w:marRight w:val="0"/>
          <w:marTop w:val="0"/>
          <w:marBottom w:val="0"/>
          <w:divBdr>
            <w:top w:val="none" w:sz="0" w:space="0" w:color="auto"/>
            <w:left w:val="none" w:sz="0" w:space="0" w:color="auto"/>
            <w:bottom w:val="none" w:sz="0" w:space="0" w:color="auto"/>
            <w:right w:val="none" w:sz="0" w:space="0" w:color="auto"/>
          </w:divBdr>
          <w:divsChild>
            <w:div w:id="745760812">
              <w:marLeft w:val="0"/>
              <w:marRight w:val="0"/>
              <w:marTop w:val="0"/>
              <w:marBottom w:val="0"/>
              <w:divBdr>
                <w:top w:val="none" w:sz="0" w:space="0" w:color="auto"/>
                <w:left w:val="none" w:sz="0" w:space="0" w:color="auto"/>
                <w:bottom w:val="none" w:sz="0" w:space="0" w:color="auto"/>
                <w:right w:val="none" w:sz="0" w:space="0" w:color="auto"/>
              </w:divBdr>
              <w:divsChild>
                <w:div w:id="6421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gov.br/en/web/dou/-/ato-n-29-de-26-de-setembro-de-2024-58732514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br/web/dou/-/ato-n-21-de-31-de-julho-de-2024-57569234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esourotransparente.gov.br/publicacoes/relatorio-de-avaliacao-de-receitas-e-despesas-primarias-rardp/2024/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ACD6BBFE58C6C46B4F21CAD64253908" ma:contentTypeVersion="17" ma:contentTypeDescription="Crie um novo documento." ma:contentTypeScope="" ma:versionID="8833b8a573c729ac285313e72c105185">
  <xsd:schema xmlns:xsd="http://www.w3.org/2001/XMLSchema" xmlns:xs="http://www.w3.org/2001/XMLSchema" xmlns:p="http://schemas.microsoft.com/office/2006/metadata/properties" xmlns:ns2="7bc2bbb7-2090-4f9b-9066-eb18d7bfee47" xmlns:ns3="68c90fb0-13d0-46b0-b2e2-ad4b9f3b21a8" targetNamespace="http://schemas.microsoft.com/office/2006/metadata/properties" ma:root="true" ma:fieldsID="2dd4c68b7cdd99f4dc208f59468121f1" ns2:_="" ns3:_="">
    <xsd:import namespace="7bc2bbb7-2090-4f9b-9066-eb18d7bfee47"/>
    <xsd:import namespace="68c90fb0-13d0-46b0-b2e2-ad4b9f3b21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2bbb7-2090-4f9b-9066-eb18d7bfe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6" nillable="true" ma:displayName="Status de liberação" ma:internalName="Status_x0020_de_x0020_libera_x00e7__x00e3_o">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d2bda3a4-2e47-4d17-9188-24fd44e02579"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90fb0-13d0-46b0-b2e2-ad4b9f3b21a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3c6828-5e05-436f-b7b9-528a817b2ad5}" ma:internalName="TaxCatchAll" ma:showField="CatchAllData" ma:web="68c90fb0-13d0-46b0-b2e2-ad4b9f3b21a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bc2bbb7-2090-4f9b-9066-eb18d7bfee47" xsi:nil="true"/>
    <lcf76f155ced4ddcb4097134ff3c332f xmlns="7bc2bbb7-2090-4f9b-9066-eb18d7bfee47">
      <Terms xmlns="http://schemas.microsoft.com/office/infopath/2007/PartnerControls"/>
    </lcf76f155ced4ddcb4097134ff3c332f>
    <TaxCatchAll xmlns="68c90fb0-13d0-46b0-b2e2-ad4b9f3b21a8" xsi:nil="true"/>
  </documentManagement>
</p:properties>
</file>

<file path=customXml/itemProps1.xml><?xml version="1.0" encoding="utf-8"?>
<ds:datastoreItem xmlns:ds="http://schemas.openxmlformats.org/officeDocument/2006/customXml" ds:itemID="{9A03EC25-10D9-4400-A497-4B8160680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2bbb7-2090-4f9b-9066-eb18d7bfee47"/>
    <ds:schemaRef ds:uri="68c90fb0-13d0-46b0-b2e2-ad4b9f3b2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5ED4E-B4E0-4BAA-A88A-B278FCC55746}">
  <ds:schemaRefs>
    <ds:schemaRef ds:uri="http://schemas.openxmlformats.org/officeDocument/2006/bibliography"/>
  </ds:schemaRefs>
</ds:datastoreItem>
</file>

<file path=customXml/itemProps3.xml><?xml version="1.0" encoding="utf-8"?>
<ds:datastoreItem xmlns:ds="http://schemas.openxmlformats.org/officeDocument/2006/customXml" ds:itemID="{792F0E15-6414-4300-AEB0-1DE5EEB14C98}">
  <ds:schemaRefs>
    <ds:schemaRef ds:uri="http://schemas.microsoft.com/sharepoint/v3/contenttype/forms"/>
  </ds:schemaRefs>
</ds:datastoreItem>
</file>

<file path=customXml/itemProps4.xml><?xml version="1.0" encoding="utf-8"?>
<ds:datastoreItem xmlns:ds="http://schemas.openxmlformats.org/officeDocument/2006/customXml" ds:itemID="{DB14F21F-9699-4EC1-BB26-2A719BFEEBA5}">
  <ds:schemaRefs>
    <ds:schemaRef ds:uri="http://schemas.microsoft.com/office/2006/metadata/properties"/>
    <ds:schemaRef ds:uri="http://schemas.microsoft.com/office/infopath/2007/PartnerControls"/>
    <ds:schemaRef ds:uri="7bc2bbb7-2090-4f9b-9066-eb18d7bfee47"/>
    <ds:schemaRef ds:uri="68c90fb0-13d0-46b0-b2e2-ad4b9f3b21a8"/>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179</Words>
  <Characters>970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ATO DA COMISSÃO DIRETORA Nº 13, de 2010</vt:lpstr>
    </vt:vector>
  </TitlesOfParts>
  <Company>Senado Federal</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DA COMISSÃO DIRETORA Nº 13, de 2010</dc:title>
  <dc:creator>Olivan</dc:creator>
  <cp:lastModifiedBy>Marina Lucia do Chantal Nunes Castelo Branco</cp:lastModifiedBy>
  <cp:revision>12</cp:revision>
  <cp:lastPrinted>2024-09-30T12:11:00Z</cp:lastPrinted>
  <dcterms:created xsi:type="dcterms:W3CDTF">2024-08-02T17:52:00Z</dcterms:created>
  <dcterms:modified xsi:type="dcterms:W3CDTF">2024-11-25T14:00:00Z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0x010100BACD6BBFE58C6C46B4F21CAD64253908</vt:lpwstr>
  </property>
  <property fmtid="{D5CDD505-2E9C-101B-9397-08002B2CF9AE}" pid="3" name="MediaServiceImageTags">
    <vt:lpwstr/>
  </property>
</Properties>
</file>